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191C6" w14:textId="77777777" w:rsidR="009B1811" w:rsidRPr="00FD2C42" w:rsidRDefault="009E698E">
      <w:pPr>
        <w:pStyle w:val="Title"/>
        <w:jc w:val="center"/>
        <w:rPr>
          <w:color w:val="auto"/>
          <w:sz w:val="36"/>
          <w:szCs w:val="36"/>
        </w:rPr>
      </w:pPr>
      <w:r w:rsidRPr="00FD2C42">
        <w:rPr>
          <w:color w:val="auto"/>
          <w:sz w:val="36"/>
          <w:szCs w:val="36"/>
        </w:rPr>
        <w:t>Formal Opposition to Willow Lakes Rezoning PZZAM2026 00002</w:t>
      </w:r>
    </w:p>
    <w:p w14:paraId="6732547C" w14:textId="7186F744" w:rsidR="009B1811" w:rsidRDefault="009E698E">
      <w:pPr>
        <w:jc w:val="center"/>
      </w:pPr>
      <w:r>
        <w:rPr>
          <w:b/>
          <w:sz w:val="22"/>
        </w:rPr>
        <w:t>Planning Board Hearing September 17</w:t>
      </w:r>
      <w:r w:rsidR="0068585B">
        <w:rPr>
          <w:b/>
          <w:sz w:val="22"/>
        </w:rPr>
        <w:t>,</w:t>
      </w:r>
      <w:r>
        <w:rPr>
          <w:b/>
          <w:sz w:val="22"/>
        </w:rPr>
        <w:t xml:space="preserve"> 2026</w:t>
      </w:r>
      <w:r w:rsidR="003B0B69">
        <w:rPr>
          <w:b/>
          <w:sz w:val="22"/>
        </w:rPr>
        <w:t xml:space="preserve">, 2:00PM City </w:t>
      </w:r>
      <w:r w:rsidR="0068585B">
        <w:rPr>
          <w:b/>
          <w:sz w:val="22"/>
        </w:rPr>
        <w:t>of Fort Pierce Commission Chambers</w:t>
      </w:r>
    </w:p>
    <w:tbl>
      <w:tblPr>
        <w:tblW w:w="0" w:type="auto"/>
        <w:tblLayout w:type="fixed"/>
        <w:tblLook w:val="04A0" w:firstRow="1" w:lastRow="0" w:firstColumn="1" w:lastColumn="0" w:noHBand="0" w:noVBand="1"/>
      </w:tblPr>
      <w:tblGrid>
        <w:gridCol w:w="4968"/>
        <w:gridCol w:w="4968"/>
      </w:tblGrid>
      <w:tr w:rsidR="009B1811" w14:paraId="609C8695" w14:textId="77777777">
        <w:tc>
          <w:tcPr>
            <w:tcW w:w="4968" w:type="dxa"/>
            <w:shd w:val="clear" w:color="auto" w:fill="EAF0F5"/>
            <w:vAlign w:val="center"/>
          </w:tcPr>
          <w:p w14:paraId="10E0071F" w14:textId="77777777" w:rsidR="009B1811" w:rsidRDefault="009E698E">
            <w:r>
              <w:rPr>
                <w:b/>
                <w:color w:val="16304C"/>
              </w:rPr>
              <w:t>Submitted by</w:t>
            </w:r>
          </w:p>
        </w:tc>
        <w:tc>
          <w:tcPr>
            <w:tcW w:w="4968" w:type="dxa"/>
            <w:shd w:val="clear" w:color="auto" w:fill="EAF0F5"/>
            <w:vAlign w:val="center"/>
          </w:tcPr>
          <w:p w14:paraId="7D7DDD37" w14:textId="77777777" w:rsidR="009B1811" w:rsidRDefault="009E698E">
            <w:r>
              <w:t>Kevin S. Keene</w:t>
            </w:r>
          </w:p>
        </w:tc>
      </w:tr>
      <w:tr w:rsidR="009B1811" w14:paraId="76797FEF" w14:textId="77777777">
        <w:tc>
          <w:tcPr>
            <w:tcW w:w="4968" w:type="dxa"/>
            <w:shd w:val="clear" w:color="auto" w:fill="EAF0F5"/>
            <w:vAlign w:val="center"/>
          </w:tcPr>
          <w:p w14:paraId="6FE3E8DA" w14:textId="77777777" w:rsidR="009B1811" w:rsidRDefault="009E698E">
            <w:r>
              <w:rPr>
                <w:b/>
                <w:color w:val="16304C"/>
              </w:rPr>
              <w:t>Project</w:t>
            </w:r>
          </w:p>
        </w:tc>
        <w:tc>
          <w:tcPr>
            <w:tcW w:w="4968" w:type="dxa"/>
            <w:shd w:val="clear" w:color="auto" w:fill="EAF0F5"/>
            <w:vAlign w:val="center"/>
          </w:tcPr>
          <w:p w14:paraId="1568F486" w14:textId="77777777" w:rsidR="009B1811" w:rsidRDefault="009E698E">
            <w:r>
              <w:t>Willow Lakes Data Center</w:t>
            </w:r>
          </w:p>
        </w:tc>
      </w:tr>
      <w:tr w:rsidR="009B1811" w14:paraId="6EBC0DA7" w14:textId="77777777">
        <w:tc>
          <w:tcPr>
            <w:tcW w:w="4968" w:type="dxa"/>
            <w:shd w:val="clear" w:color="auto" w:fill="EAF0F5"/>
            <w:vAlign w:val="center"/>
          </w:tcPr>
          <w:p w14:paraId="2E2DEA10" w14:textId="77777777" w:rsidR="009B1811" w:rsidRDefault="009E698E">
            <w:r>
              <w:rPr>
                <w:b/>
                <w:color w:val="16304C"/>
              </w:rPr>
              <w:t>Property</w:t>
            </w:r>
          </w:p>
        </w:tc>
        <w:tc>
          <w:tcPr>
            <w:tcW w:w="4968" w:type="dxa"/>
            <w:shd w:val="clear" w:color="auto" w:fill="EAF0F5"/>
            <w:vAlign w:val="center"/>
          </w:tcPr>
          <w:p w14:paraId="32793391" w14:textId="77777777" w:rsidR="009B1811" w:rsidRDefault="009E698E">
            <w:r>
              <w:t>10050 West Midway Road Fort Pierce Florida</w:t>
            </w:r>
          </w:p>
        </w:tc>
      </w:tr>
      <w:tr w:rsidR="009B1811" w14:paraId="7101CF89" w14:textId="77777777">
        <w:tc>
          <w:tcPr>
            <w:tcW w:w="4968" w:type="dxa"/>
            <w:shd w:val="clear" w:color="auto" w:fill="EAF0F5"/>
            <w:vAlign w:val="center"/>
          </w:tcPr>
          <w:p w14:paraId="3F64A08D" w14:textId="77777777" w:rsidR="009B1811" w:rsidRDefault="009E698E">
            <w:r>
              <w:rPr>
                <w:b/>
                <w:color w:val="16304C"/>
              </w:rPr>
              <w:t>Requested action</w:t>
            </w:r>
          </w:p>
        </w:tc>
        <w:tc>
          <w:tcPr>
            <w:tcW w:w="4968" w:type="dxa"/>
            <w:shd w:val="clear" w:color="auto" w:fill="EAF0F5"/>
            <w:vAlign w:val="center"/>
          </w:tcPr>
          <w:p w14:paraId="127015D2" w14:textId="77777777" w:rsidR="009B1811" w:rsidRDefault="009E698E">
            <w:r>
              <w:t>Recommend denial of PZZAM2026 00002</w:t>
            </w:r>
          </w:p>
        </w:tc>
      </w:tr>
    </w:tbl>
    <w:p w14:paraId="6D83A816" w14:textId="77777777" w:rsidR="009B1811" w:rsidRDefault="009B1811"/>
    <w:p w14:paraId="6ED454CB" w14:textId="77777777" w:rsidR="009B1811" w:rsidRDefault="009E698E">
      <w:r>
        <w:rPr>
          <w:b/>
        </w:rPr>
        <w:t>Chair and Members of the Fort Pierce Planning Board:</w:t>
      </w:r>
    </w:p>
    <w:p w14:paraId="62C5D2E0" w14:textId="77777777" w:rsidR="009B1811" w:rsidRDefault="009E698E">
      <w:r>
        <w:t>I respectfully request that the Planning Board recommend denial of PZZAM2026-00002, the application to rezone the 200.23-acre Willow Lakes property at 10050 West Midway Road from Planned Development to approximately 174 acres of Light Industrial I-1 and 26 acres of General Commercial C-3.</w:t>
      </w:r>
    </w:p>
    <w:p w14:paraId="5A37C134" w14:textId="77777777" w:rsidR="009B1811" w:rsidRDefault="009E698E">
      <w:r>
        <w:t>This request asks the City to grant industrial entitlement first and obtain the facts later. The City Code requires the opposite. Before approving a zoning atlas amendment, the Board must be able to find that the amendment is consistent with the Comprehensive Plan, will not adversely affect the City's ability to satisfy land and water-use needs or meet transportation demands and provide community facilities and services, and will promote and protect the public health, safety, and general welfare. The presen</w:t>
      </w:r>
      <w:r>
        <w:t>t record does not support those required findings.</w:t>
      </w:r>
    </w:p>
    <w:p w14:paraId="27FBBBF6" w14:textId="77777777" w:rsidR="009B1811" w:rsidRPr="00FD2C42" w:rsidRDefault="009E698E">
      <w:pPr>
        <w:pStyle w:val="Heading1"/>
        <w:rPr>
          <w:color w:val="EE0000"/>
        </w:rPr>
      </w:pPr>
      <w:r w:rsidRPr="00FD2C42">
        <w:rPr>
          <w:color w:val="EE0000"/>
        </w:rPr>
        <w:t>The application is premature and materially incomplete</w:t>
      </w:r>
    </w:p>
    <w:p w14:paraId="7F669E8F" w14:textId="77777777" w:rsidR="009B1811" w:rsidRDefault="009E698E">
      <w:r>
        <w:t>The applicant does not identify the company that would build or operate the data center. The staff report states that the owner intends to obtain rezoning and then enter an agreement with a partner company, which would later submit a site plan. As a result, the Board is being asked to approve 174 acres of industrial zoning without knowing the operator, the final equipment, the electrical demand, the cooling technology, the generator inventory, the fuel-storage volume, the noise profile, the construction pha</w:t>
      </w:r>
      <w:r>
        <w:t>ses, or the infrastructure upgrades the project will require.</w:t>
      </w:r>
    </w:p>
    <w:p w14:paraId="1EDDDE1F" w14:textId="77777777" w:rsidR="009B1811" w:rsidRDefault="009E698E">
      <w:r>
        <w:t>The conceptual plan is enormous: six single-story data-center buildings of approximately 220,000 square feet each, totaling about 1.32 million square feet, plus approximately 250,000 square feet of commercial development. A project of that scale cannot be justified by a conceptual drawing and promises that essential engineering will arrive after rezoning. Once the entitlement is granted, the City's leverage and the public's ability to evaluate whether the site is suitable are materially reduced.</w:t>
      </w:r>
    </w:p>
    <w:p w14:paraId="409EFCA4" w14:textId="77777777" w:rsidR="009B1811" w:rsidRPr="00FD2C42" w:rsidRDefault="009E698E">
      <w:pPr>
        <w:pStyle w:val="Heading1"/>
        <w:rPr>
          <w:color w:val="EE0000"/>
        </w:rPr>
      </w:pPr>
      <w:r w:rsidRPr="00FD2C42">
        <w:rPr>
          <w:color w:val="EE0000"/>
        </w:rPr>
        <w:t>Staff has identified a conditional use process but the rezoning request does not provide those protections</w:t>
      </w:r>
    </w:p>
    <w:p w14:paraId="2E4EEDF4" w14:textId="77777777" w:rsidR="009B1811" w:rsidRDefault="009E698E">
      <w:r>
        <w:t>The City's separate zoning-category analysis acknowledges that a data center is not expressly listed in the zoning code. It describes continuous cooling, significant electrical and telecommunications infrastructure, emergency generators, fuel storage, transformers, switchgear, and potential mechanical noise. Most importantly, the September 17 agenda item recommends that a data center be reviewed as a conditional use within the City's zoning regulations.</w:t>
      </w:r>
    </w:p>
    <w:p w14:paraId="250B8355" w14:textId="77777777" w:rsidR="009B1811" w:rsidRDefault="009E698E">
      <w:r>
        <w:t>That recommendation conflicts with approving a broad rezoning now and resolving the project's impacts later. If a data center requires conditional-use review, the City should establish clear, enforceable data-center standards and require project-specific evidence before granting the underlying entitlement. The Board should not use the similar-use procedure and a rezoning vote to create a path for a use whose defining impacts have not been measured.</w:t>
      </w:r>
    </w:p>
    <w:p w14:paraId="45BA179D" w14:textId="77777777" w:rsidR="009B1811" w:rsidRPr="00FD2C42" w:rsidRDefault="009E698E">
      <w:pPr>
        <w:pStyle w:val="Heading1"/>
        <w:rPr>
          <w:color w:val="EE0000"/>
        </w:rPr>
      </w:pPr>
      <w:r w:rsidRPr="00FD2C42">
        <w:rPr>
          <w:color w:val="EE0000"/>
        </w:rPr>
        <w:lastRenderedPageBreak/>
        <w:t>The water and sewer analysis rests on assumptions rather than demonstrated capacity</w:t>
      </w:r>
    </w:p>
    <w:p w14:paraId="0F28C3AC" w14:textId="77777777" w:rsidR="009B1811" w:rsidRDefault="009E698E">
      <w:r>
        <w:t>The applicant's capacity memorandum estimates average potable-water and sewer demand of 65,500 gallons per day, but expressly calls its figures preliminary and subject to tenant selection, final design, and detailed engineering. It excludes process-cooling water by assuming a closed-loop system supplied from the on-site pond. The memorandum provides no sealed water-balance analysis, hydrogeologic study, pond-yield analysis, drought scenario, evaporation estimate, thermal analysis, groundwater-interaction an</w:t>
      </w:r>
      <w:r>
        <w:t>alysis, water-quality evaluation, reclaimed-water feasibility study, or permit determination from the South Florida Water Management District or the Florida Department of Environmental Protection.</w:t>
      </w:r>
    </w:p>
    <w:p w14:paraId="29E74499" w14:textId="77777777" w:rsidR="009B1811" w:rsidRDefault="009E698E">
      <w:r>
        <w:t>The mere presence of a former aggregate-mining lake does not prove a lawful, sustainable cooling supply. Staff cannot find that the amendment will avoid an adverse effect on land and water-use needs when the central cooling assumption remains unverified.</w:t>
      </w:r>
    </w:p>
    <w:p w14:paraId="283F7461" w14:textId="77777777" w:rsidR="009B1811" w:rsidRPr="00FD2C42" w:rsidRDefault="009E698E">
      <w:pPr>
        <w:pStyle w:val="Heading1"/>
        <w:rPr>
          <w:color w:val="EE0000"/>
        </w:rPr>
      </w:pPr>
      <w:r w:rsidRPr="00FD2C42">
        <w:rPr>
          <w:color w:val="EE0000"/>
        </w:rPr>
        <w:t>Electrical capacity and public cost remain undisclosed</w:t>
      </w:r>
    </w:p>
    <w:p w14:paraId="25607C11" w14:textId="77777777" w:rsidR="009B1811" w:rsidRDefault="009E698E">
      <w:r>
        <w:t>The application points to transmission easements and a nearby substation, but proximity is not proof of available capacity. The record provides no quantified peak load, no FPL capacity commitment, no system-impact study, no schedule for generation or transmission upgrades, and no binding allocation of upgrade costs. Florida law defines a large-scale data center by an anticipated monthly peak load of at least 50 megawatts. The applicant has not disclosed whether this six-building campus will meet or exceed t</w:t>
      </w:r>
      <w:r>
        <w:t>hat threshold.</w:t>
      </w:r>
    </w:p>
    <w:p w14:paraId="01844EF4" w14:textId="77777777" w:rsidR="009B1811" w:rsidRDefault="009E698E">
      <w:r>
        <w:t>The City should not approve the zoning until it knows the maximum electrical demand and has written confirmation that the necessary infrastructure can be supplied without shifting project-specific costs or reliability risks to existing customers.</w:t>
      </w:r>
    </w:p>
    <w:p w14:paraId="4BD591A6" w14:textId="77777777" w:rsidR="009B1811" w:rsidRPr="00FD2C42" w:rsidRDefault="009E698E">
      <w:pPr>
        <w:pStyle w:val="Heading1"/>
        <w:rPr>
          <w:color w:val="EE0000"/>
        </w:rPr>
      </w:pPr>
      <w:r w:rsidRPr="00FD2C42">
        <w:rPr>
          <w:color w:val="EE0000"/>
        </w:rPr>
        <w:t>Noise emissions fire protection and emergency demands have not been established</w:t>
      </w:r>
    </w:p>
    <w:p w14:paraId="5B41712F" w14:textId="77777777" w:rsidR="009B1811" w:rsidRDefault="009E698E">
      <w:r>
        <w:t>The City's own analysis recognizes round-the-clock HVAC and cooling operations, chillers, transformers, switchgear, emergency generators, fuel storage, service activity, and potential noise. Yet the file contains no professional acoustical study, no property-line or nighttime noise limits, no low-frequency or tonal-noise analysis, no generator-testing plan, no air-emissions inventory, and no maximum generator or fuel-storage commitment.</w:t>
      </w:r>
    </w:p>
    <w:p w14:paraId="78A0023F" w14:textId="77777777" w:rsidR="009B1811" w:rsidRDefault="009E698E">
      <w:r>
        <w:t>Nor does the record contain a written determination from the St. Lucie County Fire District establishing that staffing, apparatus, water supply, hazardous-material response, and emergency planning are adequate for the maximum buildout. Those omissions prevent the required finding that the amendment will protect public health and safety and will not impair community services.</w:t>
      </w:r>
    </w:p>
    <w:p w14:paraId="2D83137D" w14:textId="77777777" w:rsidR="009B1811" w:rsidRPr="00FD2C42" w:rsidRDefault="009E698E">
      <w:pPr>
        <w:pStyle w:val="Heading1"/>
        <w:rPr>
          <w:color w:val="EE0000"/>
        </w:rPr>
      </w:pPr>
      <w:r w:rsidRPr="00FD2C42">
        <w:rPr>
          <w:color w:val="EE0000"/>
        </w:rPr>
        <w:t>The environmental report identifies resources that require current project specific review</w:t>
      </w:r>
    </w:p>
    <w:p w14:paraId="188F6BC5" w14:textId="77777777" w:rsidR="009B1811" w:rsidRDefault="009E698E">
      <w:r>
        <w:t>The June 2026 environmental assessment documents freshwater marshes, pine flatwoods in good ecological condition, a large reservoir, confirmed gopher-tortoise burrows, potential habitat for listed species, and aquatic features within a wood-stork foraging area. It also states that wetland limits rely on an informal determination from 2020 and that a systematic gopher-tortoise survey will be required before construction.</w:t>
      </w:r>
    </w:p>
    <w:p w14:paraId="5126115F" w14:textId="77777777" w:rsidR="009B1811" w:rsidRDefault="009E698E">
      <w:r>
        <w:t>That report is an inventory, not a buildout impact analysis. It does not evaluate the six-building plan's wetland impacts, stormwater volumes, habitat fragmentation, heat, lighting, cooling-water effects, or cumulative impacts. A 2006 historical-resource letter concerning a different project does not substitute for current, project-specific review twenty years later.</w:t>
      </w:r>
    </w:p>
    <w:p w14:paraId="3C755B2E" w14:textId="77777777" w:rsidR="009B1811" w:rsidRPr="00FD2C42" w:rsidRDefault="009E698E">
      <w:pPr>
        <w:pStyle w:val="Heading1"/>
        <w:rPr>
          <w:color w:val="EE0000"/>
        </w:rPr>
      </w:pPr>
      <w:r w:rsidRPr="00FD2C42">
        <w:rPr>
          <w:color w:val="EE0000"/>
        </w:rPr>
        <w:t>The proposed covenant does not cure the missing evidence</w:t>
      </w:r>
    </w:p>
    <w:p w14:paraId="7D37BC3D" w14:textId="77777777" w:rsidR="009B1811" w:rsidRDefault="009E698E">
      <w:r>
        <w:t xml:space="preserve">The draft restrictive covenant limits the I-1 portion to a data center and undefined supporting ancillary uses, but it sets no cap on building area, megawatts, water withdrawal, cooling demand, generators, fuel storage, </w:t>
      </w:r>
      <w:r>
        <w:lastRenderedPageBreak/>
        <w:t>noise, emissions, height, lighting, or hours of generator testing. It automatically expires after 50 years, may be amended or terminated by the owner and City Commission, and its Exhibit A legal description is blank in the submitted draft.</w:t>
      </w:r>
    </w:p>
    <w:p w14:paraId="5E3D69C4" w14:textId="77777777" w:rsidR="009B1811" w:rsidRDefault="009E698E">
      <w:r>
        <w:t>A covenant that identifies a use but does not control its scale or impacts cannot support the findings required by Section 125-136. Material safeguards must be objective, measurable, recorded, and enforceable before approval, not negotiated after the land is rezoned.</w:t>
      </w:r>
    </w:p>
    <w:p w14:paraId="750F7CE9" w14:textId="77777777" w:rsidR="009B1811" w:rsidRPr="00FD2C42" w:rsidRDefault="009E698E">
      <w:pPr>
        <w:pStyle w:val="Heading1"/>
        <w:rPr>
          <w:color w:val="EE0000"/>
        </w:rPr>
      </w:pPr>
      <w:r w:rsidRPr="00FD2C42">
        <w:rPr>
          <w:color w:val="EE0000"/>
        </w:rPr>
        <w:t>The proposed zoning does not fulfill the purpose of Mixed Use Development</w:t>
      </w:r>
    </w:p>
    <w:p w14:paraId="6E37E862" w14:textId="77777777" w:rsidR="009B1811" w:rsidRDefault="009E698E">
      <w:r>
        <w:t>Staff concludes that I-1 and C-3 technically satisfy the Mixed Use Development designation because they represent two listed categories. That is only a category count. The Comprehensive Plan language quoted in the staff report describes well-planned centers that integrate complementary uses and promote live-work environments. Converting roughly 87 percent of the property to a secure, no-public-access industrial campus with limited employment, then placing highway-oriented commercial uses along the remaining</w:t>
      </w:r>
      <w:r>
        <w:t xml:space="preserve"> frontage, does not by itself demonstrate an integrated mixed-use center.</w:t>
      </w:r>
    </w:p>
    <w:p w14:paraId="71DAED9C" w14:textId="77777777" w:rsidR="009B1811" w:rsidRDefault="009E698E">
      <w:r>
        <w:t>The prior Planned Development envisioned residential, retail, commercial, public spaces, walkable streets, and recreational amenities. The applicant must show how the replacement advances the plan's purpose, not merely how two zoning labels can be placed on the same parcel.</w:t>
      </w:r>
    </w:p>
    <w:p w14:paraId="76DA7D2B" w14:textId="77777777" w:rsidR="009B1811" w:rsidRPr="00FD2C42" w:rsidRDefault="009E698E">
      <w:pPr>
        <w:pStyle w:val="Heading1"/>
        <w:rPr>
          <w:color w:val="EE0000"/>
        </w:rPr>
      </w:pPr>
      <w:r w:rsidRPr="00FD2C42">
        <w:rPr>
          <w:color w:val="EE0000"/>
        </w:rPr>
        <w:t>Requested action</w:t>
      </w:r>
    </w:p>
    <w:p w14:paraId="3700D26F" w14:textId="77777777" w:rsidR="009B1811" w:rsidRDefault="009E698E">
      <w:r>
        <w:t>The Planning Board should recommend denial because the present record does not permit the mandatory findings required by City Code Section 125-136. A denial recommendation is especially appropriate because City Code Section 125-133 requires a four-fifths City Commission vote to overcome it.</w:t>
      </w:r>
    </w:p>
    <w:p w14:paraId="3595B0E2" w14:textId="77777777" w:rsidR="009B1811" w:rsidRDefault="009E698E">
      <w:r>
        <w:t>If the Board declines to recommend denial, it should continue the matter without a recommendation until the applicant supplies, and the public has adequate time to review, final project parameters; a completed and recorded covenant with a legal description; independent water, utility, noise, air, environmental, traffic, fiscal, fire-rescue, and emergency-capacity analyses; written agency and utility determinations; and draft development-order conditions that bind the owner, operator, successors, and assigns</w:t>
      </w:r>
      <w:r>
        <w:t>.</w:t>
      </w:r>
    </w:p>
    <w:p w14:paraId="4AAFAFA8" w14:textId="7E190CD0" w:rsidR="009B1811" w:rsidRPr="005C09AB" w:rsidRDefault="009E698E">
      <w:pPr>
        <w:rPr>
          <w:b/>
          <w:bCs/>
          <w:color w:val="EE0000"/>
        </w:rPr>
      </w:pPr>
      <w:r>
        <w:t xml:space="preserve">Fort Pierce should decide whether this site can safely support the actual project before it changes the zoning. </w:t>
      </w:r>
      <w:r w:rsidRPr="005C09AB">
        <w:rPr>
          <w:b/>
          <w:bCs/>
          <w:color w:val="EE0000"/>
        </w:rPr>
        <w:t xml:space="preserve">On the record presented for September 17, </w:t>
      </w:r>
      <w:r w:rsidR="005C09AB" w:rsidRPr="005C09AB">
        <w:rPr>
          <w:b/>
          <w:bCs/>
          <w:color w:val="EE0000"/>
        </w:rPr>
        <w:t xml:space="preserve">2026, </w:t>
      </w:r>
      <w:r w:rsidRPr="005C09AB">
        <w:rPr>
          <w:b/>
          <w:bCs/>
          <w:color w:val="EE0000"/>
        </w:rPr>
        <w:t>the required findings cannot responsibly be made. Please recommend denial of PZZAM2026-00002.</w:t>
      </w:r>
    </w:p>
    <w:p w14:paraId="50F2ACE7" w14:textId="77777777" w:rsidR="009B1811" w:rsidRPr="00FD2C42" w:rsidRDefault="009E698E">
      <w:pPr>
        <w:pStyle w:val="Heading1"/>
        <w:rPr>
          <w:color w:val="auto"/>
        </w:rPr>
      </w:pPr>
      <w:r w:rsidRPr="00FD2C42">
        <w:rPr>
          <w:color w:val="auto"/>
        </w:rPr>
        <w:t>Documents reviewed</w:t>
      </w:r>
    </w:p>
    <w:p w14:paraId="08DFF0D7" w14:textId="77777777" w:rsidR="009B1811" w:rsidRDefault="009E698E">
      <w:pPr>
        <w:pStyle w:val="ListBullet"/>
      </w:pPr>
      <w:r>
        <w:t>City of Fort Pierce Staff Report for PZZAM2026-00002, Planning Board date September 17, 2026</w:t>
      </w:r>
    </w:p>
    <w:p w14:paraId="12271032" w14:textId="77777777" w:rsidR="009B1811" w:rsidRDefault="009E698E">
      <w:pPr>
        <w:pStyle w:val="ListBullet"/>
      </w:pPr>
      <w:r>
        <w:t>City of Fort Pierce Determination of Zoning Category Data Center agenda item 6.d, September 17, 2026</w:t>
      </w:r>
    </w:p>
    <w:p w14:paraId="7FA50874" w14:textId="77777777" w:rsidR="009B1811" w:rsidRDefault="009E698E">
      <w:pPr>
        <w:pStyle w:val="ListBullet"/>
      </w:pPr>
      <w:r>
        <w:t>Bohler memorandum, Estimated Water and Sewer Calculations, June 15-16, 2026</w:t>
      </w:r>
    </w:p>
    <w:p w14:paraId="7942567A" w14:textId="77777777" w:rsidR="009B1811" w:rsidRDefault="009E698E">
      <w:pPr>
        <w:pStyle w:val="ListBullet"/>
      </w:pPr>
      <w:r>
        <w:t>EW Consultants Environmental Assessment, June 2026</w:t>
      </w:r>
    </w:p>
    <w:p w14:paraId="00FC8EC5" w14:textId="77777777" w:rsidR="009B1811" w:rsidRDefault="009E698E">
      <w:pPr>
        <w:pStyle w:val="ListBullet"/>
      </w:pPr>
      <w:r>
        <w:t>Draft Declaration of Restrictive Covenants for Willow Lakes, LLC</w:t>
      </w:r>
    </w:p>
    <w:p w14:paraId="73FDC633" w14:textId="77777777" w:rsidR="009B1811" w:rsidRDefault="009E698E">
      <w:pPr>
        <w:pStyle w:val="ListBullet"/>
      </w:pPr>
      <w:r>
        <w:t>Bohler Conceptual Layout Plan CP01, dated March 27, 2026</w:t>
      </w:r>
    </w:p>
    <w:p w14:paraId="69A979ED" w14:textId="77777777" w:rsidR="009B1811" w:rsidRDefault="009E698E">
      <w:pPr>
        <w:pStyle w:val="ListBullet"/>
      </w:pPr>
      <w:r>
        <w:t>Florida Department of State Division of Historical Resources letter, April 19, 2006</w:t>
      </w:r>
    </w:p>
    <w:p w14:paraId="25B777F4" w14:textId="77777777" w:rsidR="009B1811" w:rsidRDefault="009E698E">
      <w:pPr>
        <w:pStyle w:val="ListBullet"/>
      </w:pPr>
      <w:r>
        <w:t>St. Lucie County Property Appraiser property card and vesting deed supplied with the application record</w:t>
      </w:r>
    </w:p>
    <w:sectPr w:rsidR="009B1811" w:rsidSect="00034616">
      <w:footerReference w:type="default" r:id="rId8"/>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9DA9E" w14:textId="77777777" w:rsidR="009E698E" w:rsidRDefault="009E698E">
      <w:pPr>
        <w:spacing w:after="0" w:line="240" w:lineRule="auto"/>
      </w:pPr>
      <w:r>
        <w:separator/>
      </w:r>
    </w:p>
  </w:endnote>
  <w:endnote w:type="continuationSeparator" w:id="0">
    <w:p w14:paraId="629D9B00" w14:textId="77777777" w:rsidR="009E698E" w:rsidRDefault="009E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AD0A" w14:textId="77777777" w:rsidR="009B1811" w:rsidRDefault="009E698E">
    <w:pPr>
      <w:pStyle w:val="Footer"/>
      <w:jc w:val="center"/>
    </w:pPr>
    <w:r>
      <w:rPr>
        <w:color w:val="5A5A5A"/>
        <w:sz w:val="16"/>
      </w:rPr>
      <w:t xml:space="preserve">Kevin S. </w:t>
    </w:r>
    <w:proofErr w:type="gramStart"/>
    <w:r>
      <w:rPr>
        <w:color w:val="5A5A5A"/>
        <w:sz w:val="16"/>
      </w:rPr>
      <w:t>Keene  |</w:t>
    </w:r>
    <w:proofErr w:type="gramEnd"/>
    <w:r>
      <w:rPr>
        <w:color w:val="5A5A5A"/>
        <w:sz w:val="16"/>
      </w:rPr>
      <w:t xml:space="preserve">  Formal </w:t>
    </w:r>
    <w:proofErr w:type="gramStart"/>
    <w:r>
      <w:rPr>
        <w:color w:val="5A5A5A"/>
        <w:sz w:val="16"/>
      </w:rPr>
      <w:t>Opposition  |</w:t>
    </w:r>
    <w:proofErr w:type="gramEnd"/>
    <w:r>
      <w:rPr>
        <w:color w:val="5A5A5A"/>
        <w:sz w:val="16"/>
      </w:rPr>
      <w:t xml:space="preserve">  PZZAM2026-00002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9C44" w14:textId="77777777" w:rsidR="009E698E" w:rsidRDefault="009E698E">
      <w:pPr>
        <w:spacing w:after="0" w:line="240" w:lineRule="auto"/>
      </w:pPr>
      <w:r>
        <w:separator/>
      </w:r>
    </w:p>
  </w:footnote>
  <w:footnote w:type="continuationSeparator" w:id="0">
    <w:p w14:paraId="70EB9ECE" w14:textId="77777777" w:rsidR="009E698E" w:rsidRDefault="009E69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2586148">
    <w:abstractNumId w:val="8"/>
  </w:num>
  <w:num w:numId="2" w16cid:durableId="1992562859">
    <w:abstractNumId w:val="6"/>
  </w:num>
  <w:num w:numId="3" w16cid:durableId="1700544141">
    <w:abstractNumId w:val="5"/>
  </w:num>
  <w:num w:numId="4" w16cid:durableId="1172447254">
    <w:abstractNumId w:val="4"/>
  </w:num>
  <w:num w:numId="5" w16cid:durableId="2079086978">
    <w:abstractNumId w:val="7"/>
  </w:num>
  <w:num w:numId="6" w16cid:durableId="1044872584">
    <w:abstractNumId w:val="3"/>
  </w:num>
  <w:num w:numId="7" w16cid:durableId="1463960077">
    <w:abstractNumId w:val="2"/>
  </w:num>
  <w:num w:numId="8" w16cid:durableId="42800590">
    <w:abstractNumId w:val="1"/>
  </w:num>
  <w:num w:numId="9" w16cid:durableId="1674525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36E0"/>
    <w:rsid w:val="0029639D"/>
    <w:rsid w:val="00326F90"/>
    <w:rsid w:val="003B0B69"/>
    <w:rsid w:val="004A3D1B"/>
    <w:rsid w:val="005C09AB"/>
    <w:rsid w:val="0068585B"/>
    <w:rsid w:val="009B1811"/>
    <w:rsid w:val="009E698E"/>
    <w:rsid w:val="00AA1D8D"/>
    <w:rsid w:val="00B47730"/>
    <w:rsid w:val="00CB0664"/>
    <w:rsid w:val="00FC693F"/>
    <w:rsid w:val="00FD2C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D2B3C8E-AFF0-4721-B6C8-4EC0374B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6304C"/>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30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1564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Opposition to Willow Lakes Rezoning PZZAM2026 00002</dc:title>
  <dc:subject>Opposition to Willow Lakes rezoning for a proposed data center</dc:subject>
  <dc:creator>Kevin S. Keene</dc:creator>
  <cp:keywords/>
  <dc:description>generated by python-docx</dc:description>
  <cp:lastModifiedBy>Kevin Keene</cp:lastModifiedBy>
  <cp:revision>7</cp:revision>
  <dcterms:created xsi:type="dcterms:W3CDTF">2013-12-23T23:15:00Z</dcterms:created>
  <dcterms:modified xsi:type="dcterms:W3CDTF">2026-09-12T16:22:00Z</dcterms:modified>
  <cp:category/>
</cp:coreProperties>
</file>