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Response to September 11 2026 Misconduct Memorandum</w:t>
      </w:r>
    </w:p>
    <w:p>
      <w:pPr>
        <w:spacing w:after="240"/>
        <w:jc w:val="center"/>
      </w:pPr>
      <w:r>
        <w:rPr>
          <w:b/>
          <w:sz w:val="21"/>
        </w:rPr>
        <w:t>Statutory omissions, superseded authorities, and contrary Florida appellate authority</w:t>
      </w:r>
    </w:p>
    <w:p>
      <w:pPr>
        <w:spacing w:after="0"/>
      </w:pPr>
      <w:r>
        <w:t>September 19, 2026</w:t>
      </w:r>
    </w:p>
    <w:p>
      <w:pPr>
        <w:spacing w:after="0"/>
      </w:pPr>
      <w:r>
        <w:t>St. Lucie County Fire District Board of Commissioners</w:t>
      </w:r>
    </w:p>
    <w:p>
      <w:pPr>
        <w:spacing w:after="0"/>
      </w:pPr>
      <w:r>
        <w:t>5160 N.W. Milner Drive</w:t>
      </w:r>
    </w:p>
    <w:p>
      <w:pPr>
        <w:spacing w:after="0"/>
      </w:pPr>
      <w:r>
        <w:t>Port St. Lucie, Florida 34983</w:t>
      </w:r>
    </w:p>
    <w:p/>
    <w:p>
      <w:pPr>
        <w:spacing w:after="200" w:line="259" w:lineRule="auto"/>
        <w:ind w:left="0"/>
      </w:pPr>
      <w:r>
        <w:rPr>
          <w:b/>
        </w:rPr>
        <w:t>Re:</w:t>
      </w:r>
      <w:r>
        <w:t xml:space="preserve"> Response to memorandum from Fire District Attorney Kim Sabol titled “Burden of Proof and Legal Standard for Misconduct”</w:t>
      </w:r>
    </w:p>
    <w:p>
      <w:pPr>
        <w:spacing w:after="120" w:line="259" w:lineRule="auto"/>
        <w:ind w:left="0"/>
      </w:pPr>
      <w:r>
        <w:t>Commissioners:</w:t>
      </w:r>
    </w:p>
    <w:p>
      <w:pPr>
        <w:spacing w:after="120" w:line="259" w:lineRule="auto"/>
        <w:ind w:left="0"/>
      </w:pPr>
      <w:r>
        <w:t>I request that this response be distributed to every Board member and placed in the official record. Ms. Sabol’s September 11 memorandum does not present the current statutory standard completely. It relies principally on three unemployment-compensation decisions issued in 2001 and 2010, before the Legislature materially broadened the definition of misconduct. It also omits the current statute’s independent rule-violation provision and overstates what Florida law requires before the Board may find contractual “misconduct.”</w:t>
      </w:r>
    </w:p>
    <w:p>
      <w:pPr>
        <w:spacing w:after="120" w:line="259" w:lineRule="auto"/>
        <w:ind w:left="0"/>
      </w:pPr>
      <w:r>
        <w:t>The Board should not accept the memorandum’s categorical proposition that misconduct always requires willfulness, recurrence, prior warning, or a written finding. The current text of section 443.036(29), Florida Statutes, and post-amendment First District authority contradict that proposition. The precise employment agreements and the evidence concerning each official must still be applied, but the legal standard should not be narrowed by deleting statutory language or treating superseded unemployment cases as if they construed today’s statute.</w:t>
      </w:r>
    </w:p>
    <w:p>
      <w:pPr>
        <w:pStyle w:val="Heading1"/>
      </w:pPr>
      <w:r>
        <w:t>Executive Findings</w:t>
      </w:r>
    </w:p>
    <w:p>
      <w:pPr>
        <w:pStyle w:val="ListBullet"/>
        <w:spacing w:after="80"/>
      </w:pPr>
      <w:r>
        <w:rPr>
          <w:b/>
        </w:rPr>
        <w:t xml:space="preserve">The memorandum omits subsection 443.036(29)(e). </w:t>
      </w:r>
      <w:r>
        <w:t>That subsection independently defines misconduct to include a violation of an employer’s rule unless the employee proves one of three stated defenses. It does not state that the violation must be repeated, preceded by a warning, or independently proven willful.</w:t>
      </w:r>
    </w:p>
    <w:p>
      <w:pPr>
        <w:pStyle w:val="ListBullet"/>
        <w:spacing w:after="80"/>
      </w:pPr>
      <w:r>
        <w:rPr>
          <w:b/>
        </w:rPr>
        <w:t xml:space="preserve">The statutory alternatives are independent. </w:t>
      </w:r>
      <w:r>
        <w:t>The opening sentence says the listed forms of misconduct “may not be construed in pari materia with each other.” Requirements attached to subsection (a), (b), or (c) cannot be imported into subsection (e).</w:t>
      </w:r>
    </w:p>
    <w:p>
      <w:pPr>
        <w:pStyle w:val="ListBullet"/>
        <w:spacing w:after="80"/>
      </w:pPr>
      <w:r>
        <w:rPr>
          <w:b/>
        </w:rPr>
        <w:t xml:space="preserve">The three principal cases cited are pre-amendment decisions. </w:t>
      </w:r>
      <w:r>
        <w:t>Barchoff and Frazier were decided in 2001; Boyd Brothers was decided in 2010. The Legislature broadened the definition in 2011 and later retained the independent rule-violation ground.</w:t>
      </w:r>
    </w:p>
    <w:p>
      <w:pPr>
        <w:pStyle w:val="ListBullet"/>
        <w:spacing w:after="80"/>
      </w:pPr>
      <w:r>
        <w:rPr>
          <w:b/>
        </w:rPr>
        <w:t xml:space="preserve">Post-amendment appellate authority reaches the opposite burden allocation. </w:t>
      </w:r>
      <w:r>
        <w:t>Critical Intervention Services held that proof of an existing rule and its violation satisfied the employer’s initial burden; the employee then had to establish a statutory exception.</w:t>
      </w:r>
    </w:p>
    <w:p>
      <w:pPr>
        <w:pStyle w:val="ListBullet"/>
        <w:spacing w:after="80"/>
      </w:pPr>
      <w:r>
        <w:rPr>
          <w:b/>
        </w:rPr>
        <w:t xml:space="preserve">AGO 2003-53 is a recommendation, not a categorical prohibition. </w:t>
      </w:r>
      <w:r>
        <w:t>The opinion strongly recommends postponement of formal action on an unannounced controversial matter; it does not declare that Sunshine Law invariably prohibits action on an item absent from a published agenda.</w:t>
      </w:r>
    </w:p>
    <w:p>
      <w:pPr>
        <w:pStyle w:val="ListBullet"/>
        <w:spacing w:after="80"/>
      </w:pPr>
      <w:r>
        <w:rPr>
          <w:b/>
        </w:rPr>
        <w:t xml:space="preserve">A union vote and public comment may be evidence even if not elements by themselves. </w:t>
      </w:r>
      <w:r>
        <w:t>They do not automatically establish statutory misconduct, but they may alert the Board to facts, credibility issues, loss of operational confidence, policy noncompliance, or a need for investigation. Calling them legally irrelevant goes too far.</w:t>
      </w:r>
    </w:p>
    <w:p>
      <w:pPr>
        <w:pStyle w:val="ListBullet"/>
        <w:spacing w:after="80"/>
      </w:pPr>
      <w:r>
        <w:rPr>
          <w:b/>
        </w:rPr>
        <w:t xml:space="preserve">The memorandum’s “must commit that finding to writing” statement is unsupported by its citations. </w:t>
      </w:r>
      <w:r>
        <w:t>A written, fact-specific resolution is prudent for process and future review, but none of the cited unemployment cases establishes a universal statutory writing prerequisite for this Board’s contractual action.</w:t>
      </w:r>
    </w:p>
    <w:p>
      <w:pPr>
        <w:pStyle w:val="Heading1"/>
      </w:pPr>
      <w:r>
        <w:t>Point by Point Analysis</w:t>
      </w:r>
    </w:p>
    <w:p>
      <w:pPr>
        <w:pStyle w:val="Heading2"/>
      </w:pPr>
      <w:r>
        <w:t>1 The current statute is broader than the memorandum states</w:t>
      </w:r>
    </w:p>
    <w:p>
      <w:pPr>
        <w:spacing w:after="120" w:line="259" w:lineRule="auto"/>
        <w:ind w:left="0"/>
      </w:pPr>
      <w:r>
        <w:t>Section 443.036(29) begins with three important instructions: misconduct applies regardless of whether it occurs at work or during work hours; the listed categories are not exhaustive; and the categories may not be construed in pari materia with each other. The memorandum does not address the legal effect of those directions.</w:t>
      </w:r>
    </w:p>
    <w:p>
      <w:pPr>
        <w:spacing w:after="120" w:line="259" w:lineRule="auto"/>
        <w:ind w:left="0"/>
      </w:pPr>
      <w:r>
        <w:t>Most importantly, subsection (e) provides that misconduct includes “[a] violation of an employer’s rule,” unless the employee demonstrates that the employee did not and could not reasonably know the rule, that the rule is unlawful or not reasonably job-related, or that the rule is not fairly or consistently enforced. The memorandum reproduces several categories but leaves this one out. That omission changes the apparent standard.</w:t>
      </w:r>
    </w:p>
    <w:p>
      <w:pPr>
        <w:spacing w:after="120" w:line="259" w:lineRule="auto"/>
        <w:ind w:left="0"/>
      </w:pPr>
      <w:r>
        <w:t>Under subsection (e), proof of a known, lawful, job-related, fairly enforced rule and proof of its violation can establish misconduct without separately proving chronic behavior, a written warning, or the heightened culpability language appearing in other subsections. The statute expressly prevents the categories from being blended together.</w:t>
      </w:r>
    </w:p>
    <w:p>
      <w:pPr>
        <w:pStyle w:val="Heading2"/>
      </w:pPr>
      <w:r>
        <w:t>2 The cited cases construed an earlier statute</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800"/>
            <w:shd w:fill="1F4E79"/>
            <w:vAlign w:val="center"/>
            <w:tcMar>
              <w:top w:w="100" w:type="dxa"/>
              <w:start w:w="110" w:type="dxa"/>
              <w:bottom w:w="100" w:type="dxa"/>
              <w:end w:w="110" w:type="dxa"/>
            </w:tcMar>
          </w:tcPr>
          <w:p>
            <w:r>
              <w:rPr>
                <w:b/>
                <w:color w:val="FFFFFF"/>
                <w:sz w:val="17"/>
              </w:rPr>
              <w:t>Authority</w:t>
            </w:r>
          </w:p>
        </w:tc>
        <w:tc>
          <w:tcPr>
            <w:tcW w:type="dxa" w:w="1440"/>
            <w:shd w:fill="1F4E79"/>
            <w:vAlign w:val="center"/>
            <w:tcMar>
              <w:top w:w="100" w:type="dxa"/>
              <w:start w:w="110" w:type="dxa"/>
              <w:bottom w:w="100" w:type="dxa"/>
              <w:end w:w="110" w:type="dxa"/>
            </w:tcMar>
          </w:tcPr>
          <w:p>
            <w:r>
              <w:rPr>
                <w:b/>
                <w:color w:val="FFFFFF"/>
                <w:sz w:val="17"/>
              </w:rPr>
              <w:t>Year</w:t>
            </w:r>
          </w:p>
        </w:tc>
        <w:tc>
          <w:tcPr>
            <w:tcW w:type="dxa" w:w="3672"/>
            <w:shd w:fill="1F4E79"/>
            <w:vAlign w:val="center"/>
            <w:tcMar>
              <w:top w:w="100" w:type="dxa"/>
              <w:start w:w="110" w:type="dxa"/>
              <w:bottom w:w="100" w:type="dxa"/>
              <w:end w:w="110" w:type="dxa"/>
            </w:tcMar>
          </w:tcPr>
          <w:p>
            <w:r>
              <w:rPr>
                <w:b/>
                <w:color w:val="FFFFFF"/>
                <w:sz w:val="17"/>
              </w:rPr>
              <w:t>What it supports</w:t>
            </w:r>
          </w:p>
        </w:tc>
        <w:tc>
          <w:tcPr>
            <w:tcW w:type="dxa" w:w="3528"/>
            <w:shd w:fill="1F4E79"/>
            <w:vAlign w:val="center"/>
            <w:tcMar>
              <w:top w:w="100" w:type="dxa"/>
              <w:start w:w="110" w:type="dxa"/>
              <w:bottom w:w="100" w:type="dxa"/>
              <w:end w:w="110" w:type="dxa"/>
            </w:tcMar>
          </w:tcPr>
          <w:p>
            <w:r>
              <w:rPr>
                <w:b/>
                <w:color w:val="FFFFFF"/>
                <w:sz w:val="17"/>
              </w:rPr>
              <w:t>Why it does not control the full current standard</w:t>
            </w:r>
          </w:p>
        </w:tc>
      </w:tr>
      <w:tr>
        <w:trPr>
          <w:cantSplit/>
        </w:trPr>
        <w:tc>
          <w:tcPr>
            <w:tcW w:type="dxa" w:w="1800"/>
            <w:vAlign w:val="center"/>
            <w:tcMar>
              <w:top w:w="100" w:type="dxa"/>
              <w:start w:w="110" w:type="dxa"/>
              <w:bottom w:w="100" w:type="dxa"/>
              <w:end w:w="110" w:type="dxa"/>
            </w:tcMar>
          </w:tcPr>
          <w:p>
            <w:pPr>
              <w:spacing w:after="0" w:line="240" w:lineRule="auto"/>
            </w:pPr>
            <w:r>
              <w:rPr>
                <w:sz w:val="15"/>
              </w:rPr>
              <w:t>Barchoff v. Shells of St. Pete Beach, Inc.</w:t>
            </w:r>
          </w:p>
        </w:tc>
        <w:tc>
          <w:tcPr>
            <w:tcW w:type="dxa" w:w="1440"/>
            <w:vAlign w:val="center"/>
            <w:tcMar>
              <w:top w:w="100" w:type="dxa"/>
              <w:start w:w="110" w:type="dxa"/>
              <w:bottom w:w="100" w:type="dxa"/>
              <w:end w:w="110" w:type="dxa"/>
            </w:tcMar>
          </w:tcPr>
          <w:p>
            <w:pPr>
              <w:spacing w:after="0" w:line="240" w:lineRule="auto"/>
            </w:pPr>
            <w:r>
              <w:rPr>
                <w:sz w:val="15"/>
              </w:rPr>
              <w:t>2001</w:t>
            </w:r>
          </w:p>
        </w:tc>
        <w:tc>
          <w:tcPr>
            <w:tcW w:type="dxa" w:w="3672"/>
            <w:vAlign w:val="center"/>
            <w:tcMar>
              <w:top w:w="100" w:type="dxa"/>
              <w:start w:w="110" w:type="dxa"/>
              <w:bottom w:w="100" w:type="dxa"/>
              <w:end w:w="110" w:type="dxa"/>
            </w:tcMar>
          </w:tcPr>
          <w:p>
            <w:pPr>
              <w:spacing w:after="0" w:line="240" w:lineRule="auto"/>
            </w:pPr>
            <w:r>
              <w:rPr>
                <w:sz w:val="15"/>
              </w:rPr>
              <w:t>Employer carries the initial burden in an unemployment-benefits dispute; the conduct there was analyzed under the former definition.</w:t>
            </w:r>
          </w:p>
        </w:tc>
        <w:tc>
          <w:tcPr>
            <w:tcW w:type="dxa" w:w="3528"/>
            <w:vAlign w:val="center"/>
            <w:tcMar>
              <w:top w:w="100" w:type="dxa"/>
              <w:start w:w="110" w:type="dxa"/>
              <w:bottom w:w="100" w:type="dxa"/>
              <w:end w:w="110" w:type="dxa"/>
            </w:tcMar>
          </w:tcPr>
          <w:p>
            <w:pPr>
              <w:spacing w:after="0" w:line="240" w:lineRule="auto"/>
            </w:pPr>
            <w:r>
              <w:rPr>
                <w:sz w:val="15"/>
              </w:rPr>
              <w:t>Predates the 2011 expansion and current subsection (e). It cannot erase later statutory language.</w:t>
            </w:r>
          </w:p>
        </w:tc>
      </w:tr>
      <w:tr>
        <w:trPr>
          <w:cantSplit/>
        </w:trPr>
        <w:tc>
          <w:tcPr>
            <w:tcW w:type="dxa" w:w="1800"/>
            <w:vAlign w:val="center"/>
            <w:tcMar>
              <w:top w:w="100" w:type="dxa"/>
              <w:start w:w="110" w:type="dxa"/>
              <w:bottom w:w="100" w:type="dxa"/>
              <w:end w:w="110" w:type="dxa"/>
            </w:tcMar>
            <w:shd w:fill="EAF1F8"/>
          </w:tcPr>
          <w:p>
            <w:pPr>
              <w:spacing w:after="0" w:line="240" w:lineRule="auto"/>
            </w:pPr>
            <w:r>
              <w:rPr>
                <w:sz w:val="15"/>
              </w:rPr>
              <w:t>Frazier v. Home Shopping Club LP</w:t>
            </w:r>
          </w:p>
        </w:tc>
        <w:tc>
          <w:tcPr>
            <w:tcW w:type="dxa" w:w="1440"/>
            <w:vAlign w:val="center"/>
            <w:tcMar>
              <w:top w:w="100" w:type="dxa"/>
              <w:start w:w="110" w:type="dxa"/>
              <w:bottom w:w="100" w:type="dxa"/>
              <w:end w:w="110" w:type="dxa"/>
            </w:tcMar>
            <w:shd w:fill="EAF1F8"/>
          </w:tcPr>
          <w:p>
            <w:pPr>
              <w:spacing w:after="0" w:line="240" w:lineRule="auto"/>
            </w:pPr>
            <w:r>
              <w:rPr>
                <w:sz w:val="15"/>
              </w:rPr>
              <w:t>2001</w:t>
            </w:r>
          </w:p>
        </w:tc>
        <w:tc>
          <w:tcPr>
            <w:tcW w:type="dxa" w:w="3672"/>
            <w:vAlign w:val="center"/>
            <w:tcMar>
              <w:top w:w="100" w:type="dxa"/>
              <w:start w:w="110" w:type="dxa"/>
              <w:bottom w:w="100" w:type="dxa"/>
              <w:end w:w="110" w:type="dxa"/>
            </w:tcMar>
            <w:shd w:fill="EAF1F8"/>
          </w:tcPr>
          <w:p>
            <w:pPr>
              <w:spacing w:after="0" w:line="240" w:lineRule="auto"/>
            </w:pPr>
            <w:r>
              <w:rPr>
                <w:sz w:val="15"/>
              </w:rPr>
              <w:t>Under the former definition, isolated ordinary negligence or a good-faith error did not constitute disqualifying misconduct.</w:t>
            </w:r>
          </w:p>
        </w:tc>
        <w:tc>
          <w:tcPr>
            <w:tcW w:type="dxa" w:w="3528"/>
            <w:vAlign w:val="center"/>
            <w:tcMar>
              <w:top w:w="100" w:type="dxa"/>
              <w:start w:w="110" w:type="dxa"/>
              <w:bottom w:w="100" w:type="dxa"/>
              <w:end w:w="110" w:type="dxa"/>
            </w:tcMar>
            <w:shd w:fill="EAF1F8"/>
          </w:tcPr>
          <w:p>
            <w:pPr>
              <w:spacing w:after="0" w:line="240" w:lineRule="auto"/>
            </w:pPr>
            <w:r>
              <w:rPr>
                <w:sz w:val="15"/>
              </w:rPr>
              <w:t>Predates the broadened statute. Its liberal-construction language concerns unemployment benefits and cannot override present text incorporated into a contract.</w:t>
            </w:r>
          </w:p>
        </w:tc>
      </w:tr>
      <w:tr>
        <w:trPr>
          <w:cantSplit/>
        </w:trPr>
        <w:tc>
          <w:tcPr>
            <w:tcW w:type="dxa" w:w="1800"/>
            <w:vAlign w:val="center"/>
            <w:tcMar>
              <w:top w:w="100" w:type="dxa"/>
              <w:start w:w="110" w:type="dxa"/>
              <w:bottom w:w="100" w:type="dxa"/>
              <w:end w:w="110" w:type="dxa"/>
            </w:tcMar>
          </w:tcPr>
          <w:p>
            <w:pPr>
              <w:spacing w:after="0" w:line="240" w:lineRule="auto"/>
            </w:pPr>
            <w:r>
              <w:rPr>
                <w:sz w:val="15"/>
              </w:rPr>
              <w:t>Boyd Brothers, Inc. v. Florida UAC</w:t>
            </w:r>
          </w:p>
        </w:tc>
        <w:tc>
          <w:tcPr>
            <w:tcW w:type="dxa" w:w="1440"/>
            <w:vAlign w:val="center"/>
            <w:tcMar>
              <w:top w:w="100" w:type="dxa"/>
              <w:start w:w="110" w:type="dxa"/>
              <w:bottom w:w="100" w:type="dxa"/>
              <w:end w:w="110" w:type="dxa"/>
            </w:tcMar>
          </w:tcPr>
          <w:p>
            <w:pPr>
              <w:spacing w:after="0" w:line="240" w:lineRule="auto"/>
            </w:pPr>
            <w:r>
              <w:rPr>
                <w:sz w:val="15"/>
              </w:rPr>
              <w:t>2010</w:t>
            </w:r>
          </w:p>
        </w:tc>
        <w:tc>
          <w:tcPr>
            <w:tcW w:type="dxa" w:w="3672"/>
            <w:vAlign w:val="center"/>
            <w:tcMar>
              <w:top w:w="100" w:type="dxa"/>
              <w:start w:w="110" w:type="dxa"/>
              <w:bottom w:w="100" w:type="dxa"/>
              <w:end w:w="110" w:type="dxa"/>
            </w:tcMar>
          </w:tcPr>
          <w:p>
            <w:pPr>
              <w:spacing w:after="0" w:line="240" w:lineRule="auto"/>
            </w:pPr>
            <w:r>
              <w:rPr>
                <w:sz w:val="15"/>
              </w:rPr>
              <w:t>Discharge and unemployment-benefit disqualification were distinct under the statute then in force.</w:t>
            </w:r>
          </w:p>
        </w:tc>
        <w:tc>
          <w:tcPr>
            <w:tcW w:type="dxa" w:w="3528"/>
            <w:vAlign w:val="center"/>
            <w:tcMar>
              <w:top w:w="100" w:type="dxa"/>
              <w:start w:w="110" w:type="dxa"/>
              <w:bottom w:w="100" w:type="dxa"/>
              <w:end w:w="110" w:type="dxa"/>
            </w:tcMar>
          </w:tcPr>
          <w:p>
            <w:pPr>
              <w:spacing w:after="0" w:line="240" w:lineRule="auto"/>
            </w:pPr>
            <w:r>
              <w:rPr>
                <w:sz w:val="15"/>
              </w:rPr>
              <w:t>Predates the 2011 amendment and does not construe the current independent rule-violation provision.</w:t>
            </w:r>
          </w:p>
        </w:tc>
      </w:tr>
      <w:tr>
        <w:trPr>
          <w:cantSplit/>
        </w:trPr>
        <w:tc>
          <w:tcPr>
            <w:tcW w:type="dxa" w:w="1800"/>
            <w:vAlign w:val="center"/>
            <w:tcMar>
              <w:top w:w="100" w:type="dxa"/>
              <w:start w:w="110" w:type="dxa"/>
              <w:bottom w:w="100" w:type="dxa"/>
              <w:end w:w="110" w:type="dxa"/>
            </w:tcMar>
            <w:shd w:fill="EAF1F8"/>
          </w:tcPr>
          <w:p>
            <w:pPr>
              <w:spacing w:after="0" w:line="240" w:lineRule="auto"/>
            </w:pPr>
            <w:r>
              <w:rPr>
                <w:sz w:val="15"/>
              </w:rPr>
              <w:t>Critical Intervention Services v. Florida RAAC</w:t>
            </w:r>
          </w:p>
        </w:tc>
        <w:tc>
          <w:tcPr>
            <w:tcW w:type="dxa" w:w="1440"/>
            <w:vAlign w:val="center"/>
            <w:tcMar>
              <w:top w:w="100" w:type="dxa"/>
              <w:start w:w="110" w:type="dxa"/>
              <w:bottom w:w="100" w:type="dxa"/>
              <w:end w:w="110" w:type="dxa"/>
            </w:tcMar>
            <w:shd w:fill="EAF1F8"/>
          </w:tcPr>
          <w:p>
            <w:pPr>
              <w:spacing w:after="0" w:line="240" w:lineRule="auto"/>
            </w:pPr>
            <w:r>
              <w:rPr>
                <w:sz w:val="15"/>
              </w:rPr>
              <w:t>2013</w:t>
            </w:r>
          </w:p>
        </w:tc>
        <w:tc>
          <w:tcPr>
            <w:tcW w:type="dxa" w:w="3672"/>
            <w:vAlign w:val="center"/>
            <w:tcMar>
              <w:top w:w="100" w:type="dxa"/>
              <w:start w:w="110" w:type="dxa"/>
              <w:bottom w:w="100" w:type="dxa"/>
              <w:end w:w="110" w:type="dxa"/>
            </w:tcMar>
            <w:shd w:fill="EAF1F8"/>
          </w:tcPr>
          <w:p>
            <w:pPr>
              <w:spacing w:after="0" w:line="240" w:lineRule="auto"/>
            </w:pPr>
            <w:r>
              <w:rPr>
                <w:sz w:val="15"/>
              </w:rPr>
              <w:t>Post-amendment case: evidence of the rule and its violation met the employer’s burden; employee bore the burden on statutory exceptions.</w:t>
            </w:r>
          </w:p>
        </w:tc>
        <w:tc>
          <w:tcPr>
            <w:tcW w:type="dxa" w:w="3528"/>
            <w:vAlign w:val="center"/>
            <w:tcMar>
              <w:top w:w="100" w:type="dxa"/>
              <w:start w:w="110" w:type="dxa"/>
              <w:bottom w:w="100" w:type="dxa"/>
              <w:end w:w="110" w:type="dxa"/>
            </w:tcMar>
            <w:shd w:fill="EAF1F8"/>
          </w:tcPr>
          <w:p>
            <w:pPr>
              <w:spacing w:after="0" w:line="240" w:lineRule="auto"/>
            </w:pPr>
            <w:r>
              <w:rPr>
                <w:sz w:val="15"/>
              </w:rPr>
              <w:t>Directly limits the memorandum’s universal willfulness, recurrence, and warning theory.</w:t>
            </w:r>
          </w:p>
        </w:tc>
      </w:tr>
    </w:tbl>
    <w:p>
      <w:pPr>
        <w:pStyle w:val="Heading2"/>
      </w:pPr>
      <w:r>
        <w:t>3 Critical Intervention Services contradicts the burden formulation</w:t>
      </w:r>
    </w:p>
    <w:p>
      <w:pPr>
        <w:spacing w:after="120" w:line="259" w:lineRule="auto"/>
        <w:ind w:left="0"/>
      </w:pPr>
      <w:r>
        <w:t>In Critical Intervention Services, the employee was described as a good officer with no disciplinary record. He claimed not to know a newly issued no-pursuit rule and believed he had acted consistently with policy. Even so, the First District held that the employer carried its initial burden by showing the rule existed and that the officer violated it. The burden then shifted to the employee to prove that he did not and could not reasonably know the rule, or another statutory exception. Critical Intervention Services v. Florida Reemployment Assistance Appeals Commission, Case No. 1D12-2069, 38 Fla. L. Weekly D268c (Fla. 1st DCA Feb. 5, 2013).</w:t>
      </w:r>
    </w:p>
    <w:p>
      <w:pPr>
        <w:spacing w:after="120" w:line="259" w:lineRule="auto"/>
        <w:ind w:left="0"/>
      </w:pPr>
      <w:r>
        <w:t>That holding is incompatible with the memorandum’s unqualified assertion that an isolated rule violation is never enough and that courts always require willfulness or a high degree of culpability. Those propositions may describe analysis under subsections (a) or (b), or under the former statute, but they are not an accurate statement of subsection (e).</w:t>
      </w:r>
    </w:p>
    <w:p>
      <w:pPr>
        <w:pStyle w:val="Heading2"/>
      </w:pPr>
      <w:r>
        <w:t>4 A written finding is prudent but the cited authorities do not make it a universal prerequisite</w:t>
      </w:r>
    </w:p>
    <w:p>
      <w:pPr>
        <w:spacing w:after="120" w:line="259" w:lineRule="auto"/>
        <w:ind w:left="0"/>
      </w:pPr>
      <w:r>
        <w:t>The memorandum directs the Board to “commit that finding to writing for future defense of any claims.” A written resolution identifying the contract clause, findings, evidence, and vote would be sound governance. But Barchoff, Frazier, and Boyd Brothers are unemployment-benefit appeals. They do not establish a universal rule that this Board lacks power to act unless it first issues a separate written misconduct adjudication. Any actual writing requirement must come from the employment agreement, the District’s enabling law or rules, an applicable personnel procedure, or due-process requirements tied to the employee’s status—not from the cited cases alone.</w:t>
      </w:r>
    </w:p>
    <w:p>
      <w:pPr>
        <w:pStyle w:val="Heading2"/>
      </w:pPr>
      <w:r>
        <w:t>5 The memorandum understates the evidentiary relevance of a no confidence vote and public input</w:t>
      </w:r>
    </w:p>
    <w:p>
      <w:pPr>
        <w:spacing w:after="120" w:line="259" w:lineRule="auto"/>
        <w:ind w:left="0"/>
      </w:pPr>
      <w:r>
        <w:t>A union vote of no confidence does not, standing alone, prove every element of contractual misconduct. But it is not therefore meaningless. It may contain or lead to evidence concerning ignored directives, inconsistent enforcement, breakdown of command confidence, failures of supervision, labor-relations decisions, or repeated operational problems. The Board may receive that information, demand supporting facts, investigate it, and determine what weight it deserves. Public comment operates similarly: it is not self-proving, but it can identify witnesses, documents, rules, and conduct requiring Board inquiry.</w:t>
      </w:r>
    </w:p>
    <w:p>
      <w:pPr>
        <w:spacing w:after="120" w:line="259" w:lineRule="auto"/>
        <w:ind w:left="0"/>
      </w:pPr>
      <w:r>
        <w:t>The proper response is to separate allegation from proof—not to exclude an entire category of information from consideration.</w:t>
      </w:r>
    </w:p>
    <w:p>
      <w:pPr>
        <w:pStyle w:val="Heading2"/>
      </w:pPr>
      <w:r>
        <w:t>6 AGO 2003 53 is accurately described only as cautionary guidance</w:t>
      </w:r>
    </w:p>
    <w:p>
      <w:pPr>
        <w:spacing w:after="120" w:line="259" w:lineRule="auto"/>
        <w:ind w:left="0"/>
      </w:pPr>
      <w:r>
        <w:t>Attorney General Opinion 2003-53 states that a public board should give reasonable notice and strongly recommends postponing formal action on controversial matters when the public was not notified that the issue would be discussed. That supports transparent notice and deliberate procedure. The opinion is advisory and its quoted language is a recommendation. It does not create a categorical rule that every action on an unlisted matter is automatically void or unlawful. The Board can remove any avoidable dispute by placing the specific personnel matter on a properly noticed agenda and providing the contracts and supporting materials for public inspection.</w:t>
      </w:r>
    </w:p>
    <w:p>
      <w:pPr>
        <w:pStyle w:val="Heading1"/>
      </w:pPr>
      <w:r>
        <w:t>Requested Board Action</w:t>
      </w:r>
    </w:p>
    <w:p>
      <w:pPr>
        <w:pStyle w:val="ListNumber"/>
        <w:spacing w:after="80"/>
      </w:pPr>
      <w:r>
        <w:t>Do not rely on the September 11 memorandum as a complete statement of section 443.036(29).</w:t>
      </w:r>
    </w:p>
    <w:p>
      <w:pPr>
        <w:pStyle w:val="ListNumber"/>
        <w:spacing w:after="80"/>
      </w:pPr>
      <w:r>
        <w:t>Require a supplemental opinion addressing subsection (29)(e), the “includes, but is not limited to” clause, the prohibition against construing the categories in pari materia, and Critical Intervention Services.</w:t>
      </w:r>
    </w:p>
    <w:p>
      <w:pPr>
        <w:pStyle w:val="ListNumber"/>
        <w:spacing w:after="80"/>
      </w:pPr>
      <w:r>
        <w:t>Obtain independent counsel to advise the Board because the memorandum addresses the contractual job protection of its own author as well as the Fire Chief.</w:t>
      </w:r>
    </w:p>
    <w:p>
      <w:pPr>
        <w:pStyle w:val="ListNumber"/>
        <w:spacing w:after="80"/>
      </w:pPr>
      <w:r>
        <w:t>Place the specific personnel and independent-counsel matters on a properly noticed agenda, attach the relevant employment agreements, and permit a fact-specific public record to be developed.</w:t>
      </w:r>
    </w:p>
    <w:p>
      <w:pPr>
        <w:pStyle w:val="ListNumber"/>
        <w:spacing w:after="80"/>
      </w:pPr>
      <w:r>
        <w:t>If the Board makes a decision, adopt written findings that identify the governing contract language, the statutory subsection relied upon, the evidence accepted, any employee defense, and the vote.</w:t>
      </w:r>
    </w:p>
    <w:p>
      <w:pPr>
        <w:pStyle w:val="Heading1"/>
      </w:pPr>
      <w:r>
        <w:t>Conclusion</w:t>
      </w:r>
    </w:p>
    <w:p>
      <w:pPr>
        <w:spacing w:after="120" w:line="259" w:lineRule="auto"/>
        <w:ind w:left="0"/>
      </w:pPr>
      <w:r>
        <w:t>The September 11 memorandum is correct that discharge authority and a contractual finding of misconduct are not automatically the same question, and the Board should proceed on a properly noticed, evidence-based record. Its legal analysis nevertheless materially narrows the current statute by omitting subsection (e) and relying on cases decided before the Legislature broadened the definition. The Board should correct the legal framework before using that memorandum to decide whether it may investigate, discipline, terminate for cause, or appoint independent counsel.</w:t>
      </w:r>
    </w:p>
    <w:p>
      <w:pPr>
        <w:spacing w:after="0"/>
      </w:pPr>
      <w:r>
        <w:t>Respectfully submitted,</w:t>
      </w:r>
    </w:p>
    <w:p>
      <w:pPr>
        <w:spacing w:after="0"/>
      </w:pPr>
    </w:p>
    <w:p>
      <w:pPr>
        <w:spacing w:after="0"/>
      </w:pPr>
      <w:r>
        <w:t>Kevin S. Keene</w:t>
      </w:r>
    </w:p>
    <w:p>
      <w:pPr>
        <w:spacing w:after="0"/>
      </w:pPr>
      <w:r>
        <w:t>Community Liaison</w:t>
      </w:r>
    </w:p>
    <w:p>
      <w:pPr>
        <w:spacing w:after="0"/>
      </w:pPr>
      <w:r>
        <w:t>5255 Palmetto Ave.</w:t>
      </w:r>
    </w:p>
    <w:p>
      <w:pPr>
        <w:spacing w:after="0"/>
      </w:pPr>
      <w:r>
        <w:t>Fort Pierce, Florida 34982</w:t>
      </w:r>
    </w:p>
    <w:p>
      <w:pPr>
        <w:spacing w:after="0"/>
      </w:pPr>
      <w:r>
        <w:t>772-275-2040</w:t>
      </w:r>
    </w:p>
    <w:p>
      <w:pPr>
        <w:spacing w:after="0"/>
      </w:pPr>
      <w:r>
        <w:t>kevinkeene1961@gmail.com</w:t>
      </w:r>
    </w:p>
    <w:p>
      <w:r>
        <w:br w:type="page"/>
      </w:r>
    </w:p>
    <w:p>
      <w:pPr>
        <w:pStyle w:val="Heading1"/>
      </w:pPr>
      <w:r>
        <w:t>Authorities and Source Links</w:t>
      </w:r>
    </w:p>
    <w:p>
      <w:pPr>
        <w:pStyle w:val="ListBullet"/>
        <w:spacing w:after="140"/>
      </w:pPr>
      <w:hyperlink r:id="rId9">
        <w:r>
          <w:rPr>
            <w:color w:val="1F4E79"/>
            <w:u w:val="single"/>
          </w:rPr>
          <w:t>Section 443.036(29), Florida Statutes (2026)</w:t>
        </w:r>
      </w:hyperlink>
    </w:p>
    <w:p>
      <w:pPr>
        <w:pStyle w:val="ListBullet"/>
        <w:spacing w:after="140"/>
      </w:pPr>
      <w:hyperlink r:id="rId10">
        <w:r>
          <w:rPr>
            <w:color w:val="1F4E79"/>
            <w:u w:val="single"/>
          </w:rPr>
          <w:t>Critical Intervention Services v. Florida Reemployment Assistance Appeals Commission, Case No. 1D12-2069 (Fla. 1st DCA Feb. 5, 2013)</w:t>
        </w:r>
      </w:hyperlink>
    </w:p>
    <w:p>
      <w:pPr>
        <w:pStyle w:val="ListBullet"/>
        <w:spacing w:after="140"/>
      </w:pPr>
      <w:hyperlink r:id="rId11">
        <w:r>
          <w:rPr>
            <w:color w:val="1F4E79"/>
            <w:u w:val="single"/>
          </w:rPr>
          <w:t>Florida Attorney General Opinion 2003-53, Sunshine Law notice requirement for workshops</w:t>
        </w:r>
      </w:hyperlink>
    </w:p>
    <w:p>
      <w:pPr>
        <w:pStyle w:val="ListBullet"/>
        <w:spacing w:after="140"/>
      </w:pPr>
      <w:hyperlink r:id="rId12">
        <w:r>
          <w:rPr>
            <w:color w:val="1F4E79"/>
            <w:u w:val="single"/>
          </w:rPr>
          <w:t>Barchoff v. Shells of St. Pete Beach, Inc., 787 So. 2d 935 (Fla. 2d DCA 2001)</w:t>
        </w:r>
      </w:hyperlink>
    </w:p>
    <w:p>
      <w:pPr>
        <w:pStyle w:val="ListBullet"/>
        <w:spacing w:after="140"/>
      </w:pPr>
      <w:hyperlink r:id="rId13">
        <w:r>
          <w:rPr>
            <w:color w:val="1F4E79"/>
            <w:u w:val="single"/>
          </w:rPr>
          <w:t>Frazier v. Home Shopping Club LP, 784 So. 2d 1190 (Fla. 2d DCA 2001)</w:t>
        </w:r>
      </w:hyperlink>
    </w:p>
    <w:p>
      <w:pPr>
        <w:pStyle w:val="ListBullet"/>
        <w:spacing w:after="140"/>
      </w:pPr>
      <w:hyperlink r:id="rId14">
        <w:r>
          <w:rPr>
            <w:color w:val="1F4E79"/>
            <w:u w:val="single"/>
          </w:rPr>
          <w:t>Boyd Brothers, Inc. v. Florida Unemployment Appeals Commission, 41 So. 3d 419 (Fla. 1st DCA 2010)</w:t>
        </w:r>
      </w:hyperlink>
    </w:p>
    <w:p>
      <w:pPr>
        <w:spacing w:after="160" w:line="259" w:lineRule="auto"/>
        <w:ind w:left="0"/>
      </w:pPr>
      <w:r>
        <w:t>Source note: The three older decisions remain relevant to the statutory versions and unemployment-benefit issues they decided. The point is not that they never matter; it is that they cannot be quoted without accounting for the Legislature’s later expansion of the definition and post-amendment authority applying subsection (e).</w:t>
      </w:r>
    </w:p>
    <w:sectPr w:rsidR="00FC693F" w:rsidRPr="0006063C" w:rsidSect="00034616">
      <w:footerReference w:type="default" r:id="rId15"/>
      <w:pgSz w:w="12240" w:h="15840"/>
      <w:pgMar w:top="979"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eg.state.fl.us/statutes/index.cfm?App_mode=Display_Statute&amp;URL=0400-0499/0443/Sections/0443.036.html" TargetMode="External"/><Relationship Id="rId10" Type="http://schemas.openxmlformats.org/officeDocument/2006/relationships/hyperlink" Target="https://www.belaborthepoint.com/wp-content/uploads/sites/358/2013/02/Critical-Intervention-Services1.pdf" TargetMode="External"/><Relationship Id="rId11" Type="http://schemas.openxmlformats.org/officeDocument/2006/relationships/hyperlink" Target="https://www.myfloridalegal.com/ag-opinions/ago-2003-53" TargetMode="External"/><Relationship Id="rId12" Type="http://schemas.openxmlformats.org/officeDocument/2006/relationships/hyperlink" Target="https://scholar.google.com/scholar?q=%22787+So.2d+935%22" TargetMode="External"/><Relationship Id="rId13" Type="http://schemas.openxmlformats.org/officeDocument/2006/relationships/hyperlink" Target="https://scholar.google.com/scholar?q=%22784+So.2d+1190%22" TargetMode="External"/><Relationship Id="rId14" Type="http://schemas.openxmlformats.org/officeDocument/2006/relationships/hyperlink" Target="https://scholar.google.com/scholar?q=%2241+So.3d+419%22"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September 11 2026 Misconduct Memorandum</dc:title>
  <dc:subject>SLCFD Board response concerning section 443.036(29) and cited Florida authorities</dc:subject>
  <dc:creator>Kevin S. Keene</dc:creator>
  <cp:keywords/>
  <dc:description>generated by python-docx</dc:description>
  <cp:lastModifiedBy/>
  <cp:revision>1</cp:revision>
  <dcterms:created xsi:type="dcterms:W3CDTF">2013-12-23T23:15:00Z</dcterms:created>
  <dcterms:modified xsi:type="dcterms:W3CDTF">2013-12-23T23:15:00Z</dcterms:modified>
  <cp:category/>
</cp:coreProperties>
</file>