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00000"/>
          <w:sz w:val="44"/>
        </w:rPr>
        <w:t>FORMAL REQUEST FOR INVESTIGATION</w:t>
      </w:r>
    </w:p>
    <w:p>
      <w:pPr>
        <w:keepLines w:val="0"/>
        <w:spacing w:after="280"/>
      </w:pPr>
      <w:r>
        <w:t>St. Lucie County Fire District — Fiscal Management, Pension/DROP Administration, Contracting, Employment Actions, and Board Governance</w:t>
      </w:r>
    </w:p>
    <w:p>
      <w:pPr>
        <w:pStyle w:val="LetterMeta"/>
      </w:pPr>
      <w:r>
        <w:rPr>
          <w:b/>
        </w:rPr>
        <w:t xml:space="preserve">From: </w:t>
      </w:r>
      <w:r>
        <w:t>Kevin S. Keene, Fort Pierce taxpayer and resident</w:t>
      </w:r>
    </w:p>
    <w:p>
      <w:pPr>
        <w:pStyle w:val="LetterMeta"/>
      </w:pPr>
      <w:r>
        <w:rPr>
          <w:b/>
        </w:rPr>
        <w:t xml:space="preserve">Date: </w:t>
      </w:r>
      <w:r>
        <w:t>August 27, 2026</w:t>
      </w:r>
    </w:p>
    <w:p>
      <w:pPr>
        <w:pStyle w:val="LetterMeta"/>
      </w:pPr>
      <w:r>
        <w:rPr>
          <w:b/>
        </w:rPr>
        <w:t xml:space="preserve">To: </w:t>
      </w:r>
      <w:r>
        <w:t>The Honorable Blaise Ingoglia, Chief Financial Officer and State Fire Marshal</w:t>
      </w:r>
    </w:p>
    <w:p>
      <w:pPr>
        <w:pStyle w:val="LetterMeta"/>
      </w:pPr>
      <w:r>
        <w:rPr>
          <w:b/>
        </w:rPr>
        <w:t xml:space="preserve">Re: </w:t>
      </w:r>
      <w:r>
        <w:t>Request for independent examination of the St. Lucie County Fire District</w:t>
      </w:r>
    </w:p>
    <w:p>
      <w:pPr>
        <w:keepLines w:val="0"/>
      </w:pPr>
      <w:r/>
    </w:p>
    <w:p>
      <w:pPr>
        <w:keepLines w:val="0"/>
      </w:pPr>
      <w:r>
        <w:t>Kevin S. Keene</w:t>
      </w:r>
    </w:p>
    <w:p>
      <w:pPr>
        <w:keepLines w:val="0"/>
      </w:pPr>
      <w:r>
        <w:t>5255 Palmetto Avenue</w:t>
      </w:r>
    </w:p>
    <w:p>
      <w:pPr>
        <w:keepLines w:val="0"/>
      </w:pPr>
      <w:r>
        <w:t>Fort Pierce, Florida 34982</w:t>
      </w:r>
    </w:p>
    <w:p>
      <w:pPr>
        <w:keepLines w:val="0"/>
        <w:spacing w:after="280"/>
      </w:pPr>
      <w:r>
        <w:t>772-275-2040 | kevinkeene1961@gmail.com</w:t>
      </w:r>
    </w:p>
    <w:p>
      <w:pPr>
        <w:keepLines w:val="0"/>
      </w:pPr>
      <w:r>
        <w:t>The Honorable Blaise Ingoglia</w:t>
      </w:r>
    </w:p>
    <w:p>
      <w:pPr>
        <w:keepLines w:val="0"/>
      </w:pPr>
      <w:r>
        <w:t>Chief Financial Officer and State Fire Marshal</w:t>
      </w:r>
    </w:p>
    <w:p>
      <w:pPr>
        <w:keepLines w:val="0"/>
      </w:pPr>
      <w:r>
        <w:t>Florida Department of Financial Services</w:t>
      </w:r>
    </w:p>
    <w:p>
      <w:pPr>
        <w:keepLines w:val="0"/>
      </w:pPr>
      <w:r>
        <w:t>200 East Gaines Street</w:t>
      </w:r>
    </w:p>
    <w:p>
      <w:pPr>
        <w:keepLines w:val="0"/>
        <w:spacing w:after="280"/>
      </w:pPr>
      <w:r>
        <w:t>Tallahassee, Florida 32399-0301</w:t>
      </w:r>
    </w:p>
    <w:p>
      <w:pPr>
        <w:keepLines w:val="0"/>
        <w:spacing w:after="280"/>
      </w:pPr>
      <w:r>
        <w:rPr>
          <w:b/>
        </w:rPr>
        <w:t xml:space="preserve">RE: </w:t>
      </w:r>
      <w:r>
        <w:t>REQUEST FOR STATE INVESTIGATION AND FISCAL REVIEW OF THE ST. LUCIE COUNTY FIRE DISTRICT</w:t>
      </w:r>
    </w:p>
    <w:p>
      <w:pPr>
        <w:keepLines w:val="0"/>
      </w:pPr>
      <w:r>
        <w:t>Dear Chief Financial Officer Ingoglia:</w:t>
      </w:r>
    </w:p>
    <w:p>
      <w:pPr>
        <w:keepLines w:val="0"/>
      </w:pPr>
      <w:r>
        <w:t>I respectfully request that your office initiate, or coordinate with the appropriate state agencies to initiate, an independent fiscal, pension, procurement, governance, and public-integrity examination of the St. Lucie County Fire District. The District is an independent special fire control district entrusted with an extraordinary amount of public money—approximately $268 million in its proposed or adopted fiscal year 2026–2027 budget—yet the governing structure and recent events raise serious questions about whether sufficient controls exist to protect taxpayers, firefighters, retirees, and the integrity of District operations.</w:t>
      </w:r>
    </w:p>
    <w:p>
      <w:pPr>
        <w:keepLines w:val="0"/>
      </w:pPr>
      <w:r>
        <w:t>Your recent examinations of local-government spending demonstrated the value of applying independent state scrutiny where large public budgets, contracting practices, and internal controls may not be receiving meaningful local oversight. The same scrutiny is warranted here. Although the District is not a municipality, Florida Statute §17.041 expressly addresses accounts and claims involving county and district officers, employees, and other persons entrusted with district property or funds. Chapter 175 also gives the Department of Financial Services responsibilities concerning premium-tax distributions and compliance by participating special fire control districts and their firefighter pension plans.</w:t>
      </w:r>
    </w:p>
    <w:p>
      <w:pPr>
        <w:keepLines w:val="0"/>
        <w:pageBreakBefore/>
      </w:pPr>
      <w:r>
        <w:t>I am not asking your office to accept rumors or disputed allegations as proven facts. I am asking for an examination capable of determining the facts from original records, financial transactions, actuarial materials, contracts, electronic communications, meeting records, and sworn testimony.</w:t>
      </w:r>
    </w:p>
    <w:p>
      <w:pPr>
        <w:pStyle w:val="Heading1"/>
      </w:pPr>
      <w:r>
        <w:t>Grounds for State Review</w:t>
      </w:r>
    </w:p>
    <w:p>
      <w:pPr>
        <w:pStyle w:val="ListNumber"/>
        <w:keepLines/>
        <w:spacing w:after="160" w:line="280" w:lineRule="auto"/>
        <w:ind w:left="720" w:hanging="360"/>
      </w:pPr>
      <w:r>
        <w:t>Extraordinary public budget and growth in financial exposure. Examine the approximately $268 million fiscal year 2026–2027 budget, prior-year budgets, reserves, millage-supported revenues, debt, capital spending, compensation growth, overtime, administrative staffing, consulting expenditures, legal expenses, insurance and litigation costs, and all transfers among funds. Identify unusual growth, duplicate services, noncompetitive spending, unsupported expenditures, and costs shifted to taxpayers without clear public authorization.</w:t>
      </w:r>
    </w:p>
    <w:p>
      <w:pPr>
        <w:pStyle w:val="ListNumber"/>
        <w:keepLines/>
        <w:spacing w:after="160" w:line="280" w:lineRule="auto"/>
        <w:ind w:left="720" w:hanging="360"/>
      </w:pPr>
      <w:r>
        <w:t>Pension and DROP administration. Investigate allegations and records concerning the firefighter pension plan and Deferred Retirement Option Plan, including who entered DROP, entry and mandatory separation dates, any service extending beyond plan limits, post-DROP employment, rehiring, continued salary or benefits, employer and employee contributions, interest credits, actuarial assumptions, plan amendments, board approvals, collective-bargaining provisions, and payments or liabilities created without lawful authorization. Determine whether any officer participated in decisions affecting that officer’s own compensation, pension, DROP balance, continued employment, or benefits.</w:t>
      </w:r>
    </w:p>
    <w:p>
      <w:pPr>
        <w:pStyle w:val="ListNumber"/>
        <w:keepLines/>
        <w:spacing w:after="160" w:line="280" w:lineRule="auto"/>
        <w:ind w:left="720" w:hanging="360"/>
      </w:pPr>
      <w:r>
        <w:t>Reported pension-cost shifting and 2017 whistleblower disclosures. Review the reported 2017 agreement or practice concerning pension contributions, including allegations that it was not properly approved or ratified, lacked a required plan amendment or actuarial impact analysis, and shifted approximately $4 million in costs to taxpayers over four years. Review the October 2, October 4, and October 11, 2017 sequence involving the legal opinion, former Fire Chief George “Buddy” Emerson’s retirement request, the special Fire Board meeting, and his immediate placement on administrative leave through February 28, 2018. Determine what changed, who authorized it, who benefited, and whether later actions contradicted the DROP restrictions applied to Chief Emerson.</w:t>
      </w:r>
    </w:p>
    <w:p>
      <w:pPr>
        <w:pStyle w:val="ListNumber"/>
        <w:keepLines/>
        <w:spacing w:after="160" w:line="280" w:lineRule="auto"/>
        <w:ind w:left="720" w:hanging="360"/>
      </w:pPr>
      <w:r>
        <w:t>Firefighter terminations and potential retaliatory or unequal treatment. Review the investigation and termination of firefighters for alleged hazing based on events reportedly occurring approximately two years earlier; the discipline imposed upon the reporting employee; the timing, reopening, scope, evidence standards, disclosure of the source, due-process protections, consistency with District policy and collective-bargaining requirements, and comparative treatment of senior officials. Quantify back pay, outside counsel, grievance, arbitration, litigation, replacement staffing, overtime, training, and other taxpayer costs caused by the decisions.</w:t>
      </w:r>
    </w:p>
    <w:p>
      <w:pPr>
        <w:pStyle w:val="ListNumber"/>
        <w:keepLines/>
        <w:spacing w:after="160" w:line="280" w:lineRule="auto"/>
        <w:ind w:left="720" w:hanging="360"/>
      </w:pPr>
      <w:r>
        <w:t>Outside law firms and outsourced internal investigations. Identify every outside law firm, labor counsel, investigator, consultant, and expert retained during the relevant period. Examine procurement method, engagement authority, conflicts checks, invoices, billing narratives, duplication of services already available through District staff, amendments, change orders, litigation outcomes, and whether outside investigators were used to insulate management or the Board from accountability. This should include the Jackson Lewis investigation and any related engagement.</w:t>
      </w:r>
    </w:p>
    <w:p>
      <w:pPr>
        <w:pStyle w:val="ListNumber"/>
        <w:keepLines/>
        <w:spacing w:after="160" w:line="280" w:lineRule="auto"/>
        <w:ind w:left="720" w:hanging="360"/>
      </w:pPr>
      <w:r>
        <w:t>Failure of Board governance and oversight. Examine whether the Fire Board has adopted adequate written policies for complaints against the Fire Chief, Assistant Fire Chief, District Attorney, pension fiduciaries, and other senior officials; conflicts of interest; recusal; records preservation; independent investigations; whistleblower protection; succession; discipline; legal-billing review; and referral of suspected misconduct. Determine whether the Board’s appointed or ex officio structure has resulted in fragmented responsibility, rubber-stamp approvals, or a failure to supervise officials who control the information presented to it.</w:t>
      </w:r>
    </w:p>
    <w:p>
      <w:pPr>
        <w:pStyle w:val="ListNumber"/>
        <w:keepLines/>
        <w:spacing w:after="160" w:line="280" w:lineRule="auto"/>
        <w:ind w:left="720" w:hanging="360"/>
      </w:pPr>
      <w:r>
        <w:t>Current crisis of confidence. Review the facts underlying IAFF Local 1377’s announced vote of no confidence in the Fire Chief, Assistant Fire Chief, and District Attorney. Preserve the union’s supporting materials, employee statements, investigative findings, and communications with the Board. The reported Board vote on August 19, 2026, to suspend Fire Chief Jeff Lee and District Attorney Kim Sabol with pay pending the union vote further demonstrates that these issues are immediate and substantial, not merely historical.</w:t>
      </w:r>
    </w:p>
    <w:p>
      <w:pPr>
        <w:pStyle w:val="ListNumber"/>
        <w:keepLines/>
        <w:spacing w:after="160" w:line="280" w:lineRule="auto"/>
        <w:ind w:left="720" w:hanging="360"/>
      </w:pPr>
      <w:r>
        <w:t>Whistleblower protection and institutional retaliation. Examine the March 2018 protected disclosure attributed to former Chief Emerson and the August 3, 2026 letter from Margaret Emerson, together with subsequent employment, pension, contracting, disciplinary, and governance actions. Determine whether disclosures were properly received, investigated, preserved, and reported, and whether any person experienced retaliation, intimidation, disparate treatment, exclusion, or adverse financial consequences.</w:t>
      </w:r>
    </w:p>
    <w:p>
      <w:pPr>
        <w:pStyle w:val="ListNumber"/>
        <w:keepLines/>
        <w:spacing w:after="160" w:line="280" w:lineRule="auto"/>
        <w:ind w:left="720" w:hanging="360"/>
      </w:pPr>
      <w:r>
        <w:t>Health Trust and related employee-benefit expenditures. Review reported Health Trust overpayments or improper payments, reconciliation procedures, recovery efforts, board notice, audit treatment, fiduciary controls, and whether any overpayments remained uncollected or were shifted to employees or taxpayers.</w:t>
      </w:r>
    </w:p>
    <w:p>
      <w:pPr>
        <w:pStyle w:val="ListNumber"/>
        <w:keepLines/>
        <w:spacing w:after="160" w:line="280" w:lineRule="auto"/>
        <w:ind w:left="720" w:hanging="360"/>
      </w:pPr>
      <w:r>
        <w:t>Sunshine, public-records, and decision-traceability concerns affecting financial accountability. Examine whether material pension, DROP, employment, contracting, settlement, and legal-spending decisions were made through properly noticed public action; whether complete minutes and voting records exist; and whether texts, emails, draft agreements, legal opinions, actuarial work, and billing records were retained. Refer any apparent violations to the appropriate enforcement agency.</w:t>
      </w:r>
    </w:p>
    <w:p>
      <w:pPr>
        <w:pStyle w:val="Heading1"/>
      </w:pPr>
      <w:r>
        <w:t>Requested Scope and Actions</w:t>
      </w:r>
    </w:p>
    <w:p>
      <w:pPr>
        <w:keepLines w:val="0"/>
      </w:pPr>
      <w:r>
        <w:t>I respectfully request that the Department of Financial Services:</w:t>
      </w:r>
    </w:p>
    <w:p>
      <w:pPr>
        <w:pStyle w:val="ListBullet"/>
        <w:keepLines/>
        <w:spacing w:after="160" w:line="280" w:lineRule="auto"/>
        <w:ind w:left="720" w:hanging="360"/>
      </w:pPr>
      <w:r>
        <w:t>Open a formal intake and determine the full extent of the CFO’s authority under §§17.04, 17.041, and 17.05, Florida Statutes, and Chapters 175 and 633, Florida Statutes.</w:t>
      </w:r>
    </w:p>
    <w:p>
      <w:pPr>
        <w:pStyle w:val="ListBullet"/>
        <w:keepLines/>
        <w:spacing w:after="160" w:line="280" w:lineRule="auto"/>
        <w:ind w:left="720" w:hanging="360"/>
      </w:pPr>
      <w:r>
        <w:t>Issue an immediate litigation-hold or records-preservation request covering financial systems, pension and DROP files, actuarial reports, benefit calculations, payroll, contracts, invoices, legal bills, investigative files, personnel records, meeting materials, texts, emails, cloud files, and personal-device communications used for public business.</w:t>
      </w:r>
    </w:p>
    <w:p>
      <w:pPr>
        <w:pStyle w:val="ListBullet"/>
        <w:keepLines/>
        <w:spacing w:after="160" w:line="280" w:lineRule="auto"/>
        <w:ind w:left="720" w:hanging="360"/>
      </w:pPr>
      <w:r>
        <w:t>Conduct a risk-based forensic review of District expenditures, contracts, pension transactions, DROP participation, benefits, settlements, and related-party or conflict-sensitive decisions for at least fiscal years 2016–2017 through 2026–2027.</w:t>
      </w:r>
    </w:p>
    <w:p>
      <w:pPr>
        <w:pStyle w:val="ListBullet"/>
        <w:keepLines/>
        <w:spacing w:after="160" w:line="280" w:lineRule="auto"/>
        <w:ind w:left="720" w:hanging="360"/>
      </w:pPr>
      <w:r>
        <w:t>Reconcile each questioned pension or DROP action to the governing plan document, special acts, ordinances or resolutions, collective-bargaining agreements, actuarial impact statements, Chapter 175 filings, board minutes, recorded votes, and actual payments.</w:t>
      </w:r>
    </w:p>
    <w:p>
      <w:pPr>
        <w:pStyle w:val="ListBullet"/>
        <w:keepLines/>
        <w:spacing w:after="160" w:line="280" w:lineRule="auto"/>
        <w:ind w:left="720" w:hanging="360"/>
      </w:pPr>
      <w:r>
        <w:t>Audit outside legal and investigative spending by firm, matter, official authorizing the work, procurement method, hourly rate, total paid, result obtained, and costs arising from avoidable management or governance failures.</w:t>
      </w:r>
    </w:p>
    <w:p>
      <w:pPr>
        <w:pStyle w:val="ListBullet"/>
        <w:keepLines/>
        <w:spacing w:after="160" w:line="280" w:lineRule="auto"/>
        <w:ind w:left="720" w:hanging="360"/>
      </w:pPr>
      <w:r>
        <w:t>Interview current and former Board members, pension trustees, administrators, actuaries, Fire Chiefs, Assistant Chiefs, District counsel, finance and human-resources staff, union representatives, terminated firefighters, and whistleblowers outside the presence or control of District management.</w:t>
      </w:r>
    </w:p>
    <w:p>
      <w:pPr>
        <w:pStyle w:val="ListBullet"/>
        <w:keepLines/>
        <w:spacing w:after="160" w:line="280" w:lineRule="auto"/>
        <w:ind w:left="720" w:hanging="360"/>
      </w:pPr>
      <w:r>
        <w:t>Determine whether Chapter 175 premium-tax eligibility, reporting, minimum standards, or distributions were affected by any undisclosed or unauthorized plan practice.</w:t>
      </w:r>
    </w:p>
    <w:p>
      <w:pPr>
        <w:pStyle w:val="ListBullet"/>
        <w:keepLines/>
        <w:spacing w:after="160" w:line="280" w:lineRule="auto"/>
        <w:ind w:left="720" w:hanging="360"/>
      </w:pPr>
      <w:r>
        <w:t>Coordinate or refer discrete matters to the Florida Auditor General, Department of Management Services Division of Retirement, Department of Legal Affairs, FDLE, Florida Commission on Ethics, The Florida Bar, the appropriate State Attorney, or federal authorities as the evidence requires.</w:t>
      </w:r>
    </w:p>
    <w:p>
      <w:pPr>
        <w:pStyle w:val="ListBullet"/>
        <w:keepLines/>
        <w:spacing w:after="160" w:line="280" w:lineRule="auto"/>
        <w:ind w:left="720" w:hanging="360"/>
      </w:pPr>
      <w:r>
        <w:t>Provide a written public report identifying findings, questioned costs, corrective actions, responsible offices, amounts recoverable, policy deficiencies, and deadlines for remediation, while protecting confidential investigative information as required by law.</w:t>
      </w:r>
    </w:p>
    <w:p>
      <w:pPr>
        <w:pStyle w:val="Heading1"/>
      </w:pPr>
      <w:r>
        <w:t>Records and Metrics That Should Be Reconciled</w:t>
      </w:r>
    </w:p>
    <w:p>
      <w:pPr>
        <w:keepLines w:val="0"/>
      </w:pPr>
      <w:r>
        <w:t>At minimum, the review should reconcile the District’s adopted budgets and audited financial statements to general-ledger transactions; vendor master files; purchase orders; contracts; invoices; procurement records; legal-billing data; payroll; overtime; leave payouts; settlement and severance payments; pension census files; DROP elections and account statements; actuarial valuations; Chapter 175 submissions; board agendas, minutes, and votes; collective-bargaining agreements; employee-benefit trust records; insurance claims; and all related electronic communications.</w:t>
      </w:r>
    </w:p>
    <w:p>
      <w:pPr>
        <w:keepLines w:val="0"/>
      </w:pPr>
      <w:r>
        <w:t>The independent special-district performance review previously reported a 2021 net pension liability of $102,663,202 and District pension contributions of $15,582,134. Those historical figures should be reconciled to current liabilities, subsequent actuarial experience, contribution changes, DROP obligations, and any policy or employment practice that increased taxpayer exposure.</w:t>
      </w:r>
    </w:p>
    <w:p>
      <w:pPr>
        <w:pStyle w:val="Heading1"/>
      </w:pPr>
      <w:r>
        <w:t>Request for Intake Confirmation</w:t>
      </w:r>
    </w:p>
    <w:p>
      <w:pPr>
        <w:keepLines w:val="0"/>
      </w:pPr>
      <w:r>
        <w:t>Please confirm receipt, assign an intake or complaint number, identify the unit responsible for preliminary review, and advise what supporting records should be transmitted first. I can provide the whistleblower materials, DROP records request, prior performance review, relevant meeting records, correspondence, and a chronology of the personnel and pension issues.</w:t>
      </w:r>
    </w:p>
    <w:p>
      <w:pPr>
        <w:keepLines w:val="0"/>
      </w:pPr>
      <w:r>
        <w:t>Because current officials may control many of the records necessary to evaluate their own conduct, I ask that preservation and collection occur before the District receives a detailed roadmap of every allegation or witness. I also request that interviews of employees and whistleblowers be conducted through a channel independent of District management and District counsel.</w:t>
      </w:r>
    </w:p>
    <w:p>
      <w:pPr>
        <w:keepLines w:val="0"/>
      </w:pPr>
      <w:r>
        <w:t>The St. Lucie County Fire District performs an essential public-safety mission. That mission makes independent financial controls, lawful pension administration, fair employment practices, competent Board governance, and public confidence more—not less—important. The combination of a $268 million public budget, unresolved pension and DROP questions, costly personnel disputes, heavy reliance on outside counsel, deficient senior-official oversight, and a pending union vote of no confidence warrants prompt state attention.</w:t>
      </w:r>
    </w:p>
    <w:p>
      <w:pPr>
        <w:keepLines w:val="0"/>
      </w:pPr>
      <w:r>
        <w:t>Thank you for your prompt consideration. I respectfully request federal- and state-level coordination wherever the evidence reveals misuse of public funds, false reporting, fiduciary breaches, retaliation, or other conduct outside the Department’s direct jurisdiction.</w:t>
      </w:r>
    </w:p>
    <w:p>
      <w:pPr>
        <w:keepLines w:val="0"/>
        <w:spacing w:after="360"/>
      </w:pPr>
      <w:r>
        <w:t>Respectfully submitted,</w:t>
      </w:r>
    </w:p>
    <w:p>
      <w:pPr>
        <w:keepLines w:val="0"/>
      </w:pPr>
      <w:r>
        <w:t>Kevin S. Keene</w:t>
      </w:r>
    </w:p>
    <w:p>
      <w:pPr>
        <w:keepLines w:val="0"/>
      </w:pPr>
      <w:r>
        <w:t>5255 Palmetto Avenue</w:t>
      </w:r>
    </w:p>
    <w:p>
      <w:pPr>
        <w:keepLines w:val="0"/>
      </w:pPr>
      <w:r>
        <w:t>Fort Pierce, Florida 34982</w:t>
      </w:r>
    </w:p>
    <w:p>
      <w:pPr>
        <w:keepLines w:val="0"/>
      </w:pPr>
      <w:r>
        <w:t>772-275-2040</w:t>
      </w:r>
    </w:p>
    <w:p>
      <w:pPr>
        <w:keepLines w:val="0"/>
      </w:pPr>
      <w:r>
        <w:t>kevinkeene1961@gmail.com</w:t>
      </w:r>
    </w:p>
    <w:p>
      <w:pPr>
        <w:pStyle w:val="Heading1"/>
      </w:pPr>
      <w:r>
        <w:t>Authorities and Supporting References</w:t>
      </w:r>
    </w:p>
    <w:p>
      <w:pPr>
        <w:pStyle w:val="SourceNote"/>
        <w:keepLines w:val="0"/>
      </w:pPr>
      <w:r>
        <w:t>Florida Statute §17.041 — county and district accounts and claims; duty of the CFO concerning district officers, employees, and persons entrusted with district funds or property.</w:t>
      </w:r>
    </w:p>
    <w:p>
      <w:pPr>
        <w:pStyle w:val="SourceNote"/>
        <w:keepLines w:val="0"/>
      </w:pPr>
      <w:r>
        <w:t>Florida Statutes §§17.04 and 17.05 — financial investigations, referrals, sworn statements, subpoenas, witnesses, and production of books, records, and documents within the CFO’s statutory authority.</w:t>
      </w:r>
    </w:p>
    <w:p>
      <w:pPr>
        <w:pStyle w:val="SourceNote"/>
        <w:keepLines w:val="0"/>
      </w:pPr>
      <w:r>
        <w:t>Florida Statute §633.104 — designates the Chief Financial Officer as State Fire Marshal.</w:t>
      </w:r>
    </w:p>
    <w:p>
      <w:pPr>
        <w:pStyle w:val="SourceNote"/>
        <w:keepLines w:val="0"/>
      </w:pPr>
      <w:r>
        <w:t>Chapter 175, Florida Statutes, including §175.121 — firefighter pension standards and premium-tax distributions to participating municipalities and special fire control districts.</w:t>
      </w:r>
    </w:p>
    <w:p>
      <w:pPr>
        <w:pStyle w:val="SourceNote"/>
        <w:keepLines w:val="0"/>
      </w:pPr>
      <w:r>
        <w:t>Chapter 191, Florida Statutes, and Chapters 2004-407 and 2016-250, Laws of Florida — governance framework applicable to the St. Lucie County Fire District.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b/>
        <w:color w:val="646464"/>
        <w:sz w:val="16"/>
      </w:rPr>
      <w:t>FORMAL REQUEST FOR STATE FISCAL AND PUBLIC-INTEGRITY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tterMeta">
    <w:name w:val="Letter Meta"/>
    <w:basedOn w:val="Normal"/>
    <w:pPr>
      <w:spacing w:after="40"/>
    </w:pPr>
  </w:style>
  <w:style w:type="paragraph" w:customStyle="1" w:styleId="SourceNote">
    <w:name w:val="Source Note"/>
    <w:basedOn w:val="Normal"/>
    <w:pPr>
      <w:spacing w:after="80"/>
    </w:pPr>
    <w:rPr>
      <w:color w:val="55555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CFO Investigation of the St. Lucie County Fire District</dc:title>
  <dc:subject>Fiscal, pension/DROP, procurement, employment, and governance review</dc:subject>
  <dc:creator>Kevin S. Keene</dc:creator>
  <cp:keywords/>
  <dc:description>generated by python-docx</dc:description>
  <cp:lastModifiedBy/>
  <cp:revision>1</cp:revision>
  <dcterms:created xsi:type="dcterms:W3CDTF">2013-12-23T23:15:00Z</dcterms:created>
  <dcterms:modified xsi:type="dcterms:W3CDTF">2013-12-23T23:15:00Z</dcterms:modified>
  <cp:category/>
</cp:coreProperties>
</file>