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SLCFD Accountability Series Part 2</w:t>
      </w:r>
    </w:p>
    <w:p>
      <w:pPr>
        <w:keepLines/>
      </w:pPr>
      <w:r>
        <w:rPr>
          <w:b/>
        </w:rPr>
        <w:t>PART 2 OF 3: THE 2017 SPECIAL FIRE BOARD MEETING</w:t>
      </w:r>
    </w:p>
    <w:p>
      <w:pPr>
        <w:keepLines/>
      </w:pPr>
      <w:r>
        <w:t>In Part 1, I asked why the Fire Board became involved when Jeff Lee faced discipline in 2017, while today it says it cannot intervene in the terminations of Jordon Hutchinson, Doug Boudrias, and Chris Baldwin. The notice of the 2017 special meeting makes that question even harder to ignore.</w:t>
      </w:r>
    </w:p>
    <w:p>
      <w:pPr>
        <w:keepLines/>
      </w:pPr>
      <w:r>
        <w:t>The Board called a special meeting to consider the union’s complaint, which included Lee’s disciplinary matter. The notice stated that the Board could “take any necessary or desirable actions in response to said complaint.” Those are the Board’s own words. What actions did it consider, and what actions did it ultimately take?</w:t>
      </w:r>
    </w:p>
    <w:p>
      <w:pPr>
        <w:keepLines/>
      </w:pPr>
      <w:r>
        <w:t>I have also received accounts that commissioners pressured Chief Buddy Emerson over Lee’s discipline, including a threat that Emerson would be terminated if he terminated Lee. Those accounts deserve a review of the meeting records, communications, and testimony—not silence. Emerson ultimately left the District, while Lee was reinstated.</w:t>
      </w:r>
    </w:p>
    <w:p>
      <w:pPr>
        <w:keepLines/>
      </w:pPr>
      <w:r>
        <w:t>Now Lee is Fire Chief, three firefighters have been terminated, and questions have been raised about his handling of those cases. Yet we are told the Board cannot take action to address their terminations. If the Board could convene a special meeting and consider action on a disciplinary complaint in 2017, what prevents it from convening a meeting and examining its options now?</w:t>
      </w:r>
    </w:p>
    <w:p>
      <w:pPr>
        <w:keepLines/>
      </w:pPr>
      <w:r>
        <w:t>The Board should explain its authority in both situations, review Chief Lee’s conduct and contract through a fair public process, and consider whether the three firefighters should be reinstated with back pay. It should disclose the records supporting its decisions so the public can judge whether the same standard was applied to everyone.</w:t>
      </w:r>
    </w:p>
    <w:p>
      <w:pPr>
        <w:keepLines/>
      </w:pPr>
      <w:r>
        <w:t>I will share Part 3 in a few days.</w:t>
      </w:r>
    </w:p>
    <w:sectPr w:rsidR="00FC693F" w:rsidRPr="0006063C" w:rsidSect="00034616">
      <w:pgSz w:w="12240" w:h="15840"/>
      <w:pgMar w:top="1152"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