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SLCFD Accountability Series Part 1</w:t>
      </w:r>
    </w:p>
    <w:p>
      <w:pPr>
        <w:keepLines/>
      </w:pPr>
      <w:r>
        <w:rPr>
          <w:b/>
        </w:rPr>
        <w:t>PART 1 OF 3: WHAT HAPPENED WHEN JEFF LEE WAS DISCIPLINED?</w:t>
      </w:r>
    </w:p>
    <w:p>
      <w:pPr>
        <w:keepLines/>
      </w:pPr>
      <w:r>
        <w:t>I want the public to look closely at how the St. Lucie County Fire District handled Jeff Lee’s disciplinary matter in 2017—and then ask why the Board now claims its hands are tied regarding the terminations of firefighters Jordon Hutchinson, Doug Boudrias, and Chris Baldwin.</w:t>
      </w:r>
    </w:p>
    <w:p>
      <w:pPr>
        <w:keepLines/>
      </w:pPr>
      <w:r>
        <w:t>After Lee was disciplined for violating District rules and regulations, District Attorney Kim Sabol sent an email seeking an independent, third-party attorney to evaluate his disciplinary matter and other legal concerns. That request deserves public attention. Why did the District need an outside, neutral review, and what happened to it?</w:t>
      </w:r>
    </w:p>
    <w:p>
      <w:pPr>
        <w:keepLines/>
      </w:pPr>
      <w:r>
        <w:t>Based on the records and accounts I have received, the Fire Board became involved in Lee’s case, Sabol was told not to participate in Chief Buddy Emerson’s defense, and the investigative outcome changed before Lee was reinstated. Emerson was subsequently forced into retirement. The Board should release the communications and records that show who gave those directions, when they were given, and how the findings changed.</w:t>
      </w:r>
    </w:p>
    <w:p>
      <w:pPr>
        <w:keepLines/>
      </w:pPr>
      <w:r>
        <w:t>Today, Chief Lee and Attorney Sabol maintain that the Board cannot intervene in the terminations of Hutchinson, Boudrias, and Baldwin. That leaves a direct question for the Board: What authority did it rely on to act in Lee’s case, and why does it say that same authority is unavailable now?</w:t>
      </w:r>
    </w:p>
    <w:p>
      <w:pPr>
        <w:keepLines/>
      </w:pPr>
      <w:r>
        <w:t>I am asking for a public, document-supported explanation of both decisions. The firefighters and the people who fund this District deserve a consistent standard of accountability.</w:t>
      </w:r>
    </w:p>
    <w:p>
      <w:pPr>
        <w:keepLines/>
      </w:pPr>
      <w:r>
        <w:t>I will share Part 2 in a few days.</w:t>
      </w:r>
    </w:p>
    <w:sectPr w:rsidR="00FC693F" w:rsidRPr="0006063C" w:rsidSect="00034616">
      <w:pgSz w:w="12240" w:h="15840"/>
      <w:pgMar w:top="1152" w:right="1800" w:bottom="1152"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pPr>
    <w:rPr>
      <w:rFonts w:ascii="Aptos" w:hAnsi="Aptos"/>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