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rFonts w:ascii="Calibri" w:hAnsi="Calibri"/>
          <w:b/>
          <w:i w:val="0"/>
          <w:color w:val="1F4E79"/>
          <w:sz w:val="30"/>
        </w:rPr>
        <w:t>KEVIN S. KEENE</w:t>
      </w:r>
    </w:p>
    <w:p>
      <w:pPr>
        <w:spacing w:after="0"/>
      </w:pPr>
      <w:r>
        <w:rPr>
          <w:rFonts w:ascii="Calibri" w:hAnsi="Calibri"/>
          <w:b w:val="0"/>
          <w:i w:val="0"/>
          <w:color w:val="000000"/>
          <w:sz w:val="21"/>
        </w:rPr>
        <w:t>5255 Palmetto Ave.</w:t>
      </w:r>
    </w:p>
    <w:p>
      <w:pPr>
        <w:spacing w:after="0"/>
      </w:pPr>
      <w:r>
        <w:rPr>
          <w:rFonts w:ascii="Calibri" w:hAnsi="Calibri"/>
          <w:b w:val="0"/>
          <w:i w:val="0"/>
          <w:color w:val="000000"/>
          <w:sz w:val="21"/>
        </w:rPr>
        <w:t>Fort Pierce, Florida 34982</w:t>
      </w:r>
    </w:p>
    <w:p>
      <w:pPr>
        <w:spacing w:after="0"/>
      </w:pPr>
      <w:r>
        <w:rPr>
          <w:rFonts w:ascii="Calibri" w:hAnsi="Calibri"/>
          <w:b w:val="0"/>
          <w:i w:val="0"/>
          <w:color w:val="000000"/>
          <w:sz w:val="21"/>
        </w:rPr>
        <w:t>kevinkeene1961@gmail.com  |  772-275-2040</w:t>
      </w:r>
    </w:p>
    <w:p>
      <w:pPr>
        <w:spacing w:after="40"/>
      </w:pPr>
    </w:p>
    <w:p>
      <w:pPr>
        <w:spacing w:after="200" w:line="264" w:lineRule="auto"/>
      </w:pPr>
      <w:r>
        <w:rPr>
          <w:rFonts w:ascii="Calibri" w:hAnsi="Calibri"/>
          <w:b w:val="0"/>
          <w:i w:val="0"/>
          <w:color w:val="000000"/>
          <w:sz w:val="22"/>
        </w:rPr>
        <w:t>August 26, 2026</w:t>
      </w:r>
    </w:p>
    <w:p>
      <w:pPr>
        <w:spacing w:after="0" w:line="264" w:lineRule="auto"/>
      </w:pPr>
      <w:r>
        <w:rPr>
          <w:rFonts w:ascii="Calibri" w:hAnsi="Calibri"/>
          <w:b w:val="0"/>
          <w:i w:val="0"/>
          <w:color w:val="000000"/>
          <w:sz w:val="22"/>
        </w:rPr>
        <w:t>The Honorable Sean P. Duffy</w:t>
      </w:r>
    </w:p>
    <w:p>
      <w:pPr>
        <w:spacing w:after="0" w:line="264" w:lineRule="auto"/>
      </w:pPr>
      <w:r>
        <w:rPr>
          <w:rFonts w:ascii="Calibri" w:hAnsi="Calibri"/>
          <w:b w:val="0"/>
          <w:i w:val="0"/>
          <w:color w:val="000000"/>
          <w:sz w:val="22"/>
        </w:rPr>
        <w:t>Secretary of Transportation</w:t>
      </w:r>
    </w:p>
    <w:p>
      <w:pPr>
        <w:spacing w:after="0" w:line="264" w:lineRule="auto"/>
      </w:pPr>
      <w:r>
        <w:rPr>
          <w:rFonts w:ascii="Calibri" w:hAnsi="Calibri"/>
          <w:b w:val="0"/>
          <w:i w:val="0"/>
          <w:color w:val="000000"/>
          <w:sz w:val="22"/>
        </w:rPr>
        <w:t>U.S. Department of Transportation</w:t>
      </w:r>
    </w:p>
    <w:p>
      <w:pPr>
        <w:spacing w:after="0" w:line="264" w:lineRule="auto"/>
      </w:pPr>
      <w:r>
        <w:rPr>
          <w:rFonts w:ascii="Calibri" w:hAnsi="Calibri"/>
          <w:b w:val="0"/>
          <w:i w:val="0"/>
          <w:color w:val="000000"/>
          <w:sz w:val="22"/>
        </w:rPr>
        <w:t>1200 New Jersey Avenue, SE</w:t>
      </w:r>
    </w:p>
    <w:p>
      <w:pPr>
        <w:spacing w:after="0" w:line="264" w:lineRule="auto"/>
      </w:pPr>
      <w:r>
        <w:rPr>
          <w:rFonts w:ascii="Calibri" w:hAnsi="Calibri"/>
          <w:b w:val="0"/>
          <w:i w:val="0"/>
          <w:color w:val="000000"/>
          <w:sz w:val="22"/>
        </w:rPr>
        <w:t>Washington, DC 20590</w:t>
      </w:r>
    </w:p>
    <w:p>
      <w:pPr>
        <w:spacing w:after="40"/>
      </w:pPr>
    </w:p>
    <w:p>
      <w:pPr>
        <w:spacing w:after="200"/>
      </w:pPr>
      <w:r>
        <w:rPr>
          <w:rFonts w:ascii="Calibri" w:hAnsi="Calibri"/>
          <w:b/>
          <w:i w:val="0"/>
          <w:color w:val="000000"/>
          <w:sz w:val="22"/>
        </w:rPr>
        <w:t xml:space="preserve">RE: </w:t>
      </w:r>
      <w:r>
        <w:rPr>
          <w:rFonts w:ascii="Calibri" w:hAnsi="Calibri"/>
          <w:b/>
          <w:i w:val="0"/>
          <w:color w:val="000000"/>
          <w:sz w:val="22"/>
        </w:rPr>
        <w:t>Request for USDOT and FHWA review of threats to the Indian River Lagoon-Treasure Coast Scenic Highway, public waterfront access, and recognized historic resources at Little Jim and Causeway Cove, Fort Pierce, Florida</w:t>
      </w:r>
    </w:p>
    <w:p>
      <w:pPr>
        <w:spacing w:after="160" w:line="264" w:lineRule="auto"/>
      </w:pPr>
      <w:r>
        <w:rPr>
          <w:rFonts w:ascii="Calibri" w:hAnsi="Calibri"/>
          <w:b w:val="0"/>
          <w:i w:val="0"/>
          <w:color w:val="000000"/>
          <w:sz w:val="22"/>
        </w:rPr>
        <w:t>Dear Secretary Duffy:</w:t>
      </w:r>
    </w:p>
    <w:p>
      <w:pPr>
        <w:spacing w:after="160" w:line="264" w:lineRule="auto"/>
      </w:pPr>
      <w:r>
        <w:rPr>
          <w:rFonts w:ascii="Calibri" w:hAnsi="Calibri"/>
          <w:b w:val="0"/>
          <w:i w:val="0"/>
          <w:color w:val="000000"/>
          <w:sz w:val="22"/>
        </w:rPr>
        <w:t>I respectfully request the direct assistance of the U.S. Department of Transportation and the Federal Highway Administration concerning two imminent waterfront matters in Fort Pierce, Florida: the City-owned property known as Little Jim Bait and Tackle and the proposed high-density Causeway Cove development. These sites are not isolated parcels. Both are located on or immediately adjacent to the officially designated Indian River Lagoon-Treasure Coast Scenic Highway and the Indian River Lagoon waterfront that gives the corridor its defining natural, scenic, historic, cultural, and recreational character.</w:t>
      </w:r>
    </w:p>
    <w:p>
      <w:pPr>
        <w:spacing w:after="160" w:line="264" w:lineRule="auto"/>
      </w:pPr>
      <w:r>
        <w:rPr>
          <w:rFonts w:ascii="Calibri" w:hAnsi="Calibri"/>
          <w:b w:val="0"/>
          <w:i w:val="0"/>
          <w:color w:val="000000"/>
          <w:sz w:val="22"/>
        </w:rPr>
        <w:t>Local decision-making has treated these waterfront properties largely as individual development opportunities. The cumulative effect is the transfer, intensification, privatization, or displacement of the very public access points, historic places, working waterfront uses, views, and lagoon resources that the scenic-highway designation was intended to preserve, maintain, and protect.</w:t>
      </w:r>
    </w:p>
    <w:p>
      <w:pPr>
        <w:pStyle w:val="Heading1"/>
        <w:keepNext/>
      </w:pPr>
      <w:r>
        <w:t>Statutory and program basis</w:t>
      </w:r>
    </w:p>
    <w:p>
      <w:pPr>
        <w:spacing w:after="160" w:line="264" w:lineRule="auto"/>
      </w:pPr>
      <w:r>
        <w:rPr>
          <w:rFonts w:ascii="Calibri" w:hAnsi="Calibri"/>
          <w:b w:val="0"/>
          <w:i w:val="0"/>
          <w:color w:val="000000"/>
          <w:sz w:val="22"/>
        </w:rPr>
        <w:t>Florida Statute § 335.093(1) authorizes designation of public roads as scenic highways and declares that designated roads are intended to preserve, maintain, and protect Florida's cultural, historical, and scenic routes for vehicular, bicycle, and pedestrian travel. Florida Administrative Code Rule 14-15.016 directs FDOT to administer scenic-highway designations through the Florida Scenic Highways Program and its incorporated program standards.</w:t>
      </w:r>
    </w:p>
    <w:p>
      <w:pPr>
        <w:spacing w:after="160" w:line="264" w:lineRule="auto"/>
      </w:pPr>
      <w:r>
        <w:rPr>
          <w:rFonts w:ascii="Calibri" w:hAnsi="Calibri"/>
          <w:b w:val="0"/>
          <w:i w:val="0"/>
          <w:color w:val="000000"/>
          <w:sz w:val="22"/>
        </w:rPr>
        <w:t>The National Scenic Byways Program under 23 U.S.C. § 162 recognizes roads possessing outstanding scenic, historic, cultural, natural, recreational, and archaeological qualities. I understand that Fort Pierce's 42-mile corridor is a Florida-designated scenic highway, while the separately designated Indian River Lagoon National Scenic Byway presently terminates farther north near Wabasso. I am not asking the Department to treat those two designations as geographically identical. I am asking USDOT and FHWA to examine whether federal transportation funding, federal-aid highway responsibilities, federal permits, or other federal actions are implicated and to coordinate with FDOT so the federally supported scenic-byway framework is not rendered meaningless at the Fort Pierce waterfront.</w:t>
      </w:r>
    </w:p>
    <w:p>
      <w:pPr>
        <w:spacing w:after="160" w:line="264" w:lineRule="auto"/>
      </w:pPr>
      <w:r>
        <w:rPr>
          <w:rFonts w:ascii="Calibri" w:hAnsi="Calibri"/>
          <w:b w:val="0"/>
          <w:i w:val="0"/>
          <w:color w:val="000000"/>
          <w:sz w:val="22"/>
        </w:rPr>
        <w:t>For any project involving a federal transportation action, 23 U.S.C. § 109(h), the National Environmental Policy Act, and 23 C.F.R. Part 771 require appropriate consideration of social, economic, environmental, and aesthetic effects. FHWA guidance also recognizes designated scenic-byway resources as material to visual-impact assessment. Those protections and review duties should be identified before irreversible approvals, leases, construction, access changes, or roadway modifications occur.</w:t>
      </w:r>
    </w:p>
    <w:p>
      <w:pPr>
        <w:pStyle w:val="Heading1"/>
        <w:keepNext/>
      </w:pPr>
      <w:r>
        <w:t>Official route relationship</w:t>
      </w:r>
    </w:p>
    <w:p>
      <w:pPr>
        <w:spacing w:after="160" w:line="264" w:lineRule="auto"/>
      </w:pPr>
      <w:r>
        <w:rPr>
          <w:rFonts w:ascii="Calibri" w:hAnsi="Calibri"/>
          <w:b w:val="0"/>
          <w:i w:val="0"/>
          <w:color w:val="000000"/>
          <w:sz w:val="22"/>
        </w:rPr>
        <w:t>The official Treasure Coast Scenic Highway Corridor Management Plan update describes the route as approximately 42 miles long. It proceeds along SR A1A from the Indian River/St. Lucie County line south along North Hutchinson Island, crosses the Indian River Lagoon to U.S. 1, continues south on U.S. 1 to South A1A/Seaway Drive, and continues toward the Martin County line. Indian River Drive/SR 707 is also part of the corridor from the Martin/St. Lucie County line north to downtown Fort Pierce, ending at Seaway Drive.</w:t>
      </w:r>
    </w:p>
    <w:tbl>
      <w:tblPr>
        <w:tblW w:type="auto" w:w="0"/>
        <w:jc w:val="left"/>
        <w:tblLayout w:type="fixed"/>
        <w:tblLook w:firstColumn="1" w:firstRow="1" w:lastColumn="0" w:lastRow="0" w:noHBand="0" w:noVBand="1" w:val="04A0"/>
      </w:tblPr>
      <w:tblGrid>
        <w:gridCol w:w="3120"/>
        <w:gridCol w:w="3120"/>
        <w:gridCol w:w="3120"/>
      </w:tblGrid>
      <w:tr>
        <w:tc>
          <w:tcPr>
            <w:tcW w:type="dxa" w:w="2100"/>
            <w:shd w:fill="E8EEF5"/>
            <w:vAlign w:val="center"/>
          </w:tcPr>
          <w:p>
            <w:r>
              <w:rPr>
                <w:rFonts w:ascii="Calibri" w:hAnsi="Calibri"/>
                <w:b/>
                <w:i w:val="0"/>
                <w:color w:val="000000"/>
                <w:sz w:val="20"/>
              </w:rPr>
              <w:t>Waterfront site</w:t>
            </w:r>
          </w:p>
        </w:tc>
        <w:tc>
          <w:tcPr>
            <w:tcW w:type="dxa" w:w="3420"/>
            <w:shd w:fill="E8EEF5"/>
            <w:vAlign w:val="center"/>
          </w:tcPr>
          <w:p>
            <w:r>
              <w:rPr>
                <w:rFonts w:ascii="Calibri" w:hAnsi="Calibri"/>
                <w:b/>
                <w:i w:val="0"/>
                <w:color w:val="000000"/>
                <w:sz w:val="20"/>
              </w:rPr>
              <w:t>Relationship to designated route</w:t>
            </w:r>
          </w:p>
        </w:tc>
        <w:tc>
          <w:tcPr>
            <w:tcW w:type="dxa" w:w="3720"/>
            <w:shd w:fill="E8EEF5"/>
            <w:vAlign w:val="center"/>
          </w:tcPr>
          <w:p>
            <w:r>
              <w:rPr>
                <w:rFonts w:ascii="Calibri" w:hAnsi="Calibri"/>
                <w:b/>
                <w:i w:val="0"/>
                <w:color w:val="000000"/>
                <w:sz w:val="20"/>
              </w:rPr>
              <w:t>Recognized corridor value</w:t>
            </w:r>
          </w:p>
        </w:tc>
      </w:tr>
      <w:tr>
        <w:tc>
          <w:tcPr>
            <w:tcW w:type="dxa" w:w="2100"/>
            <w:vAlign w:val="top"/>
          </w:tcPr>
          <w:p>
            <w:r>
              <w:rPr>
                <w:rFonts w:ascii="Calibri" w:hAnsi="Calibri"/>
                <w:b/>
                <w:i w:val="0"/>
                <w:color w:val="000000"/>
                <w:sz w:val="19"/>
              </w:rPr>
              <w:t>Little Jim</w:t>
            </w:r>
          </w:p>
        </w:tc>
        <w:tc>
          <w:tcPr>
            <w:tcW w:type="dxa" w:w="3420"/>
            <w:vAlign w:val="top"/>
          </w:tcPr>
          <w:p>
            <w:r>
              <w:rPr>
                <w:rFonts w:ascii="Calibri" w:hAnsi="Calibri"/>
                <w:b w:val="0"/>
                <w:i w:val="0"/>
                <w:color w:val="000000"/>
                <w:sz w:val="19"/>
              </w:rPr>
              <w:t>601 North Causeway; directly associated with the North Causeway/A1A crossing described by the official route.</w:t>
            </w:r>
          </w:p>
        </w:tc>
        <w:tc>
          <w:tcPr>
            <w:tcW w:type="dxa" w:w="3720"/>
            <w:vAlign w:val="top"/>
          </w:tcPr>
          <w:p>
            <w:r>
              <w:rPr>
                <w:rFonts w:ascii="Calibri" w:hAnsi="Calibri"/>
                <w:b w:val="0"/>
                <w:i w:val="0"/>
                <w:color w:val="000000"/>
                <w:sz w:val="19"/>
              </w:rPr>
              <w:t>Official scenic-highway materials identify Little Jim Bait and Tackle as a historic point of interest and describe its World War II guard-post history, fishing, boating, kayaking, and lagoon access.</w:t>
            </w:r>
          </w:p>
        </w:tc>
      </w:tr>
      <w:tr>
        <w:tc>
          <w:tcPr>
            <w:tcW w:type="dxa" w:w="2100"/>
            <w:vAlign w:val="top"/>
          </w:tcPr>
          <w:p>
            <w:r>
              <w:rPr>
                <w:rFonts w:ascii="Calibri" w:hAnsi="Calibri"/>
                <w:b/>
                <w:i w:val="0"/>
                <w:color w:val="000000"/>
                <w:sz w:val="19"/>
              </w:rPr>
              <w:t>Causeway Cove</w:t>
            </w:r>
          </w:p>
        </w:tc>
        <w:tc>
          <w:tcPr>
            <w:tcW w:type="dxa" w:w="3420"/>
            <w:vAlign w:val="top"/>
          </w:tcPr>
          <w:p>
            <w:r>
              <w:rPr>
                <w:rFonts w:ascii="Calibri" w:hAnsi="Calibri"/>
                <w:b w:val="0"/>
                <w:i w:val="0"/>
                <w:color w:val="000000"/>
                <w:sz w:val="19"/>
              </w:rPr>
              <w:t>Located at or immediately adjacent to Seaway Drive/South A1A and the South Causeway gateway, expressly included in the official route description.</w:t>
            </w:r>
          </w:p>
        </w:tc>
        <w:tc>
          <w:tcPr>
            <w:tcW w:type="dxa" w:w="3720"/>
            <w:vAlign w:val="top"/>
          </w:tcPr>
          <w:p>
            <w:r>
              <w:rPr>
                <w:rFonts w:ascii="Calibri" w:hAnsi="Calibri"/>
                <w:b w:val="0"/>
                <w:i w:val="0"/>
                <w:color w:val="000000"/>
                <w:sz w:val="19"/>
              </w:rPr>
              <w:t>The corridor plan emphasizes lagoon vistas, mangroves, fishing heritage, public recreation, bicycle and pedestrian travel, and the Old Florida river-to-sea experience.</w:t>
            </w:r>
          </w:p>
        </w:tc>
      </w:tr>
    </w:tbl>
    <w:p>
      <w:pPr>
        <w:pStyle w:val="Heading1"/>
        <w:keepNext/>
      </w:pPr>
      <w:r>
        <w:t>Little Jim: recognized historic and recreational resource</w:t>
      </w:r>
    </w:p>
    <w:p>
      <w:pPr>
        <w:spacing w:after="160" w:line="264" w:lineRule="auto"/>
      </w:pPr>
      <w:r>
        <w:rPr>
          <w:rFonts w:ascii="Calibri" w:hAnsi="Calibri"/>
          <w:b w:val="0"/>
          <w:i w:val="0"/>
          <w:color w:val="000000"/>
          <w:sz w:val="22"/>
        </w:rPr>
        <w:t>Little Jim is City-owned waterfront property at 601 North Causeway. The official Treasure Coast Scenic Highway interactive materials identify it as "Little Jim Bait and Tackle (Historic)." Those materials document its origin as the guard shack and checkpoint for the World War II training area used by Navy Combat Demolition Units, later associated with the Underwater Demolition Teams and Navy SEALs. They also recognize its continuing function as a bait shop, restaurant, boating destination, kayak launch, fishing location, and public gateway to Shorty's Slough and the lagoon.</w:t>
      </w:r>
    </w:p>
    <w:p>
      <w:pPr>
        <w:spacing w:after="160" w:line="264" w:lineRule="auto"/>
      </w:pPr>
      <w:r>
        <w:rPr>
          <w:rFonts w:ascii="Calibri" w:hAnsi="Calibri"/>
          <w:b w:val="0"/>
          <w:i w:val="0"/>
          <w:color w:val="000000"/>
          <w:sz w:val="22"/>
        </w:rPr>
        <w:t>The City is presently pursuing decisions affecting the future lease and operation of this public property while unresolved environmental and waterfront-access concerns remain. Displacing the established use or converting the property into a materially different private commercial operation would impair a resource that the scenic-highway program itself holds out to the traveling public as historically and recreationally significant.</w:t>
      </w:r>
    </w:p>
    <w:p>
      <w:pPr>
        <w:pStyle w:val="Heading1"/>
        <w:keepNext/>
      </w:pPr>
      <w:r>
        <w:t>Causeway Cove: proposed intensity at the scenic gateway</w:t>
      </w:r>
    </w:p>
    <w:p>
      <w:pPr>
        <w:spacing w:after="160" w:line="264" w:lineRule="auto"/>
      </w:pPr>
      <w:r>
        <w:rPr>
          <w:rFonts w:ascii="Calibri" w:hAnsi="Calibri"/>
          <w:b w:val="0"/>
          <w:i w:val="0"/>
          <w:color w:val="000000"/>
          <w:sz w:val="22"/>
        </w:rPr>
        <w:t>Causeway Cove is proposed as a large, high-density mixed-use waterfront development, including a prominent multi-story residential component and associated commercial, hotel, restaurant, and marina-related uses. Its location at the South Causeway/Seaway Drive gateway places its height, mass, lighting, traffic, shoreline activity, viewshed effects, and pedestrian and bicycle impacts squarely within the experience of the designated corridor.</w:t>
      </w:r>
    </w:p>
    <w:p>
      <w:pPr>
        <w:spacing w:after="160" w:line="264" w:lineRule="auto"/>
      </w:pPr>
      <w:r>
        <w:rPr>
          <w:rFonts w:ascii="Calibri" w:hAnsi="Calibri"/>
          <w:b w:val="0"/>
          <w:i w:val="0"/>
          <w:color w:val="000000"/>
          <w:sz w:val="22"/>
        </w:rPr>
        <w:t>The Corridor Management Plan describes the corridor as a unique river-to-sea experience encompassing exceptional natural, scenic, cultural, archaeological, historical, educational, and recreational resources. It identifies preservation of the Old Florida atmosphere, historical resources, coastal greenways, beach recreation, lagoon vistas, mangroves, fishing heritage, bicycle and pedestrian connections, and public access as central values. A development of Causeway Cove's scale should not advance without a transparent evaluation of those identified resources and the cumulative effect of other waterfront development.</w:t>
      </w:r>
    </w:p>
    <w:p>
      <w:pPr>
        <w:pStyle w:val="Heading1"/>
        <w:keepNext/>
      </w:pPr>
      <w:r>
        <w:t>Requested federal action</w:t>
      </w:r>
    </w:p>
    <w:p>
      <w:pPr>
        <w:spacing w:after="160" w:line="264" w:lineRule="auto"/>
      </w:pPr>
      <w:r>
        <w:rPr>
          <w:rFonts w:ascii="Calibri" w:hAnsi="Calibri"/>
          <w:b w:val="0"/>
          <w:i w:val="0"/>
          <w:color w:val="000000"/>
          <w:sz w:val="22"/>
        </w:rPr>
        <w:t>I respectfully request that your office direct the appropriate USDOT and FHWA personnel to:</w:t>
      </w:r>
    </w:p>
    <w:p>
      <w:pPr>
        <w:pStyle w:val="ListBullet"/>
        <w:spacing w:after="100" w:line="264" w:lineRule="auto"/>
        <w:ind w:left="720" w:hanging="360"/>
      </w:pPr>
      <w:r>
        <w:rPr>
          <w:rFonts w:ascii="Calibri" w:hAnsi="Calibri"/>
          <w:b w:val="0"/>
          <w:i w:val="0"/>
          <w:color w:val="000000"/>
          <w:sz w:val="22"/>
        </w:rPr>
        <w:t>Confirm the federal and state scenic-byway status of the relevant Fort Pierce roadway segments and obtain the official designation letter, termini, corridor map, and current Corridor Management Plan from FDOT.</w:t>
      </w:r>
    </w:p>
    <w:p>
      <w:pPr>
        <w:pStyle w:val="ListBullet"/>
        <w:spacing w:after="100" w:line="264" w:lineRule="auto"/>
        <w:ind w:left="720" w:hanging="360"/>
      </w:pPr>
      <w:r>
        <w:rPr>
          <w:rFonts w:ascii="Calibri" w:hAnsi="Calibri"/>
          <w:b w:val="0"/>
          <w:i w:val="0"/>
          <w:color w:val="000000"/>
          <w:sz w:val="22"/>
        </w:rPr>
        <w:t>Determine whether either matter involves or may affect a federal-aid highway, federally funded transportation improvement, federal easement, federal permit, navigable-water authorization, or other federal approval or funding stream.</w:t>
      </w:r>
    </w:p>
    <w:p>
      <w:pPr>
        <w:pStyle w:val="ListBullet"/>
        <w:spacing w:after="100" w:line="264" w:lineRule="auto"/>
        <w:ind w:left="720" w:hanging="360"/>
      </w:pPr>
      <w:r>
        <w:rPr>
          <w:rFonts w:ascii="Calibri" w:hAnsi="Calibri"/>
          <w:b w:val="0"/>
          <w:i w:val="0"/>
          <w:color w:val="000000"/>
          <w:sz w:val="22"/>
        </w:rPr>
        <w:t>Request that FDOT District Four, the St. Lucie Transportation Planning Organization, the Corridor Management Entity, and the City of Fort Pierce identify all scenic, historic, recreational, visual, bicycle, pedestrian, public-access, and cumulative-impact reviews performed for Little Jim and Causeway Cove.</w:t>
      </w:r>
    </w:p>
    <w:p>
      <w:pPr>
        <w:pStyle w:val="ListBullet"/>
        <w:spacing w:after="100" w:line="264" w:lineRule="auto"/>
        <w:ind w:left="720" w:hanging="360"/>
      </w:pPr>
      <w:r>
        <w:rPr>
          <w:rFonts w:ascii="Calibri" w:hAnsi="Calibri"/>
          <w:b w:val="0"/>
          <w:i w:val="0"/>
          <w:color w:val="000000"/>
          <w:sz w:val="22"/>
        </w:rPr>
        <w:t>Determine whether any roadway, access, bridge, traffic, drainage, utility, marina, shoreline, or related improvement requires federal review under 23 U.S.C. § 109(h), NEPA, 23 C.F.R. Part 771, or another applicable federal requirement.</w:t>
      </w:r>
    </w:p>
    <w:p>
      <w:pPr>
        <w:pStyle w:val="ListBullet"/>
        <w:spacing w:after="100" w:line="264" w:lineRule="auto"/>
        <w:ind w:left="720" w:hanging="360"/>
      </w:pPr>
      <w:r>
        <w:rPr>
          <w:rFonts w:ascii="Calibri" w:hAnsi="Calibri"/>
          <w:b w:val="0"/>
          <w:i w:val="0"/>
          <w:color w:val="000000"/>
          <w:sz w:val="22"/>
        </w:rPr>
        <w:t>Provide technical assistance or intergovernmental coordination necessary to protect the corridor's documented intrinsic qualities before irreversible action occurs.</w:t>
      </w:r>
    </w:p>
    <w:p>
      <w:pPr>
        <w:pStyle w:val="ListBullet"/>
        <w:spacing w:after="100" w:line="264" w:lineRule="auto"/>
        <w:ind w:left="720" w:hanging="360"/>
      </w:pPr>
      <w:r>
        <w:rPr>
          <w:rFonts w:ascii="Calibri" w:hAnsi="Calibri"/>
          <w:b w:val="0"/>
          <w:i w:val="0"/>
          <w:color w:val="000000"/>
          <w:sz w:val="22"/>
        </w:rPr>
        <w:t>Advise whether the Fort Pierce portion of the Indian River Lagoon corridor is eligible for extension, connection, or other recognition under the National Scenic Byways Program, and what immediate preservation steps are available pending that process.</w:t>
      </w:r>
    </w:p>
    <w:p>
      <w:pPr>
        <w:pStyle w:val="ListBullet"/>
        <w:spacing w:after="100" w:line="264" w:lineRule="auto"/>
        <w:ind w:left="720" w:hanging="360"/>
      </w:pPr>
      <w:r>
        <w:rPr>
          <w:rFonts w:ascii="Calibri" w:hAnsi="Calibri"/>
          <w:b w:val="0"/>
          <w:i w:val="0"/>
          <w:color w:val="000000"/>
          <w:sz w:val="22"/>
        </w:rPr>
        <w:t>Designate a USDOT or FHWA contact who will receive the underlying project materials and communicate directly with affected Fort Pierce citizens.</w:t>
      </w:r>
    </w:p>
    <w:p>
      <w:pPr>
        <w:pStyle w:val="Heading1"/>
        <w:keepNext/>
      </w:pPr>
      <w:r>
        <w:t>Need for prompt attention</w:t>
      </w:r>
    </w:p>
    <w:p>
      <w:pPr>
        <w:spacing w:after="160" w:line="264" w:lineRule="auto"/>
      </w:pPr>
      <w:r>
        <w:rPr>
          <w:rFonts w:ascii="Calibri" w:hAnsi="Calibri"/>
          <w:b w:val="0"/>
          <w:i w:val="0"/>
          <w:color w:val="000000"/>
          <w:sz w:val="22"/>
        </w:rPr>
        <w:t>These decisions are moving on separate tracks, but they present one common question: whether a community may publicly celebrate a scenic waterfront corridor while approving actions that progressively eliminate its historic places, working waterfront character, public access, and lagoon views. Once a historic public waterfront use is displaced or a massive structure permanently changes the gateway, the damage cannot be meaningfully corrected through later signage or promotional materials.</w:t>
      </w:r>
    </w:p>
    <w:p>
      <w:pPr>
        <w:spacing w:after="160" w:line="264" w:lineRule="auto"/>
      </w:pPr>
      <w:r>
        <w:rPr>
          <w:rFonts w:ascii="Calibri" w:hAnsi="Calibri"/>
          <w:b w:val="0"/>
          <w:i w:val="0"/>
          <w:color w:val="000000"/>
          <w:sz w:val="22"/>
        </w:rPr>
        <w:t>I ask that this letter be referred promptly to the Office of the Secretary, FHWA's Office of Planning, Environment, and Realty, the Florida Division Office, and the Office of Public Liaison. Please acknowledge receipt, identify the responsible reviewing officials, and advise what additional project documents should be submitted directly to them.</w:t>
      </w:r>
    </w:p>
    <w:p>
      <w:pPr>
        <w:spacing w:after="160" w:line="264" w:lineRule="auto"/>
      </w:pPr>
      <w:r>
        <w:rPr>
          <w:rFonts w:ascii="Calibri" w:hAnsi="Calibri"/>
          <w:b w:val="0"/>
          <w:i w:val="0"/>
          <w:color w:val="000000"/>
          <w:sz w:val="22"/>
        </w:rPr>
        <w:t>Thank you for your attention to the preservation of this nationally significant lagoon environment and the transportation corridors through which the public experiences it.</w:t>
      </w:r>
    </w:p>
    <w:p>
      <w:pPr>
        <w:spacing w:after="440" w:line="264" w:lineRule="auto"/>
      </w:pPr>
      <w:r>
        <w:rPr>
          <w:rFonts w:ascii="Calibri" w:hAnsi="Calibri"/>
          <w:b w:val="0"/>
          <w:i w:val="0"/>
          <w:color w:val="000000"/>
          <w:sz w:val="22"/>
        </w:rPr>
        <w:t>Respectfully submitted,</w:t>
      </w:r>
    </w:p>
    <w:p>
      <w:pPr>
        <w:spacing w:after="0" w:line="264" w:lineRule="auto"/>
      </w:pPr>
      <w:r>
        <w:rPr>
          <w:rFonts w:ascii="Calibri" w:hAnsi="Calibri"/>
          <w:b/>
          <w:i w:val="0"/>
          <w:color w:val="000000"/>
          <w:sz w:val="22"/>
        </w:rPr>
        <w:t>Kevin S. Keene</w:t>
      </w:r>
      <w:r>
        <w:rPr>
          <w:rFonts w:ascii="Calibri" w:hAnsi="Calibri"/>
          <w:b w:val="0"/>
          <w:i w:val="0"/>
          <w:color w:val="000000"/>
          <w:sz w:val="22"/>
        </w:rPr>
      </w:r>
    </w:p>
    <w:p>
      <w:pPr>
        <w:spacing w:after="0" w:line="264" w:lineRule="auto"/>
      </w:pPr>
      <w:r>
        <w:rPr>
          <w:rFonts w:ascii="Calibri" w:hAnsi="Calibri"/>
          <w:b w:val="0"/>
          <w:i w:val="0"/>
          <w:color w:val="000000"/>
          <w:sz w:val="22"/>
        </w:rPr>
        <w:t>Community Liaison / Fort Pierce Resident</w:t>
      </w:r>
    </w:p>
    <w:p>
      <w:pPr>
        <w:spacing w:after="0" w:line="264" w:lineRule="auto"/>
      </w:pPr>
      <w:r>
        <w:rPr>
          <w:rFonts w:ascii="Calibri" w:hAnsi="Calibri"/>
          <w:b w:val="0"/>
          <w:i w:val="0"/>
          <w:color w:val="000000"/>
          <w:sz w:val="22"/>
        </w:rPr>
        <w:t>5255 Palmetto Ave., Fort Pierce, Florida 34982</w:t>
      </w:r>
    </w:p>
    <w:p>
      <w:pPr>
        <w:spacing w:after="200" w:line="264" w:lineRule="auto"/>
      </w:pPr>
      <w:r>
        <w:rPr>
          <w:rFonts w:ascii="Calibri" w:hAnsi="Calibri"/>
          <w:b w:val="0"/>
          <w:i w:val="0"/>
          <w:color w:val="000000"/>
          <w:sz w:val="22"/>
        </w:rPr>
        <w:t>kevinkeene1961@gmail.com  |  772-275-2040</w:t>
      </w:r>
    </w:p>
    <w:p>
      <w:pPr>
        <w:spacing w:after="60" w:line="264" w:lineRule="auto"/>
      </w:pPr>
      <w:r>
        <w:rPr>
          <w:rFonts w:ascii="Calibri" w:hAnsi="Calibri"/>
          <w:b/>
          <w:i w:val="0"/>
          <w:color w:val="000000"/>
          <w:sz w:val="22"/>
        </w:rPr>
        <w:t>Enclosures:</w:t>
      </w:r>
      <w:r>
        <w:rPr>
          <w:rFonts w:ascii="Calibri" w:hAnsi="Calibri"/>
          <w:b w:val="0"/>
          <w:i w:val="0"/>
          <w:color w:val="000000"/>
          <w:sz w:val="22"/>
        </w:rPr>
      </w:r>
    </w:p>
    <w:p>
      <w:pPr>
        <w:pStyle w:val="ListBullet"/>
        <w:spacing w:after="100" w:line="264" w:lineRule="auto"/>
        <w:ind w:left="720" w:hanging="360"/>
      </w:pPr>
      <w:r>
        <w:rPr>
          <w:rFonts w:ascii="Calibri" w:hAnsi="Calibri"/>
          <w:b w:val="0"/>
          <w:i w:val="0"/>
          <w:color w:val="000000"/>
          <w:sz w:val="22"/>
        </w:rPr>
        <w:t>Exhibit A - Official corridor route description and project relationship</w:t>
      </w:r>
    </w:p>
    <w:p>
      <w:pPr>
        <w:pStyle w:val="ListBullet"/>
        <w:spacing w:after="100" w:line="264" w:lineRule="auto"/>
        <w:ind w:left="720" w:hanging="360"/>
      </w:pPr>
      <w:r>
        <w:rPr>
          <w:rFonts w:ascii="Calibri" w:hAnsi="Calibri"/>
          <w:b w:val="0"/>
          <w:i w:val="0"/>
          <w:color w:val="000000"/>
          <w:sz w:val="22"/>
        </w:rPr>
        <w:t>Exhibit B - Selected governing authorities and official source links</w:t>
      </w:r>
    </w:p>
    <w:p>
      <w:r>
        <w:br w:type="page"/>
      </w:r>
    </w:p>
    <w:p>
      <w:pPr>
        <w:spacing w:after="160"/>
      </w:pPr>
    </w:p>
    <w:p>
      <w:pPr>
        <w:spacing w:before="480"/>
        <w:jc w:val="center"/>
      </w:pPr>
      <w:r>
        <w:rPr>
          <w:rFonts w:ascii="Calibri" w:hAnsi="Calibri"/>
          <w:b/>
          <w:i w:val="0"/>
          <w:color w:val="1F4E79"/>
          <w:sz w:val="32"/>
        </w:rPr>
        <w:t>EXHIBIT A</w:t>
      </w:r>
    </w:p>
    <w:p>
      <w:pPr>
        <w:spacing w:after="320"/>
        <w:jc w:val="center"/>
      </w:pPr>
      <w:r>
        <w:rPr>
          <w:rFonts w:ascii="Calibri" w:hAnsi="Calibri"/>
          <w:b/>
          <w:i w:val="0"/>
          <w:color w:val="000000"/>
          <w:sz w:val="26"/>
        </w:rPr>
        <w:t>OFFICIAL CORRIDOR ROUTE AND PROJECT RELATIONSHIP</w:t>
      </w:r>
    </w:p>
    <w:p>
      <w:pPr>
        <w:spacing w:after="240" w:line="264" w:lineRule="auto"/>
      </w:pPr>
      <w:r>
        <w:rPr>
          <w:rFonts w:ascii="Calibri" w:hAnsi="Calibri"/>
          <w:b w:val="0"/>
          <w:i w:val="0"/>
          <w:color w:val="000000"/>
          <w:sz w:val="22"/>
        </w:rPr>
        <w:t>Source: Treasure Coast Scenic Highway 5-Year Corridor Management Plan Update, pp. 14-15 (official Florida Scenic Highways Program document library).</w:t>
      </w:r>
    </w:p>
    <w:p>
      <w:pPr>
        <w:spacing w:after="80" w:line="264" w:lineRule="auto"/>
      </w:pPr>
      <w:r>
        <w:rPr>
          <w:rFonts w:ascii="Calibri" w:hAnsi="Calibri"/>
          <w:b/>
          <w:i w:val="0"/>
          <w:color w:val="000000"/>
          <w:sz w:val="22"/>
        </w:rPr>
        <w:t>Official route description</w:t>
      </w:r>
      <w:r>
        <w:rPr>
          <w:rFonts w:ascii="Calibri" w:hAnsi="Calibri"/>
          <w:b w:val="0"/>
          <w:i w:val="0"/>
          <w:color w:val="000000"/>
          <w:sz w:val="22"/>
        </w:rPr>
      </w:r>
    </w:p>
    <w:p>
      <w:pPr>
        <w:spacing w:after="160" w:line="264" w:lineRule="auto"/>
      </w:pPr>
      <w:r>
        <w:rPr>
          <w:rFonts w:ascii="Calibri" w:hAnsi="Calibri"/>
          <w:b w:val="0"/>
          <w:i w:val="0"/>
          <w:color w:val="000000"/>
          <w:sz w:val="22"/>
        </w:rPr>
        <w:t>The plan states that the approximately 42-mile corridor travels along SR A1A from the Indian River/St. Lucie County line south along North Hutchinson Island, crosses the Indian River Lagoon to U.S. 1, continues south on U.S. 1 to South A1A/Seaway Drive, and proceeds to the St. Lucie/Martin County line. Indian River Drive/SR 707 is included from the county line north to downtown Fort Pierce, ending at Seaway Drive.</w:t>
      </w:r>
    </w:p>
    <w:tbl>
      <w:tblPr>
        <w:tblW w:type="auto" w:w="0"/>
        <w:jc w:val="center"/>
        <w:tblLayout w:type="fixed"/>
        <w:tblLook w:firstColumn="1" w:firstRow="1" w:lastColumn="0" w:lastRow="0" w:noHBand="0" w:noVBand="1" w:val="04A0"/>
      </w:tblPr>
      <w:tblGrid>
        <w:gridCol w:w="9360"/>
      </w:tblGrid>
      <w:tr>
        <w:tc>
          <w:tcPr>
            <w:tcW w:type="dxa" w:w="9360"/>
            <w:vAlign w:val="center"/>
            <w:shd w:fill="F2F4F7"/>
          </w:tcPr>
          <w:p>
            <w:pPr>
              <w:spacing w:after="40" w:before="40"/>
              <w:jc w:val="center"/>
            </w:pPr>
            <w:r>
              <w:rPr>
                <w:rFonts w:ascii="Calibri" w:hAnsi="Calibri"/>
                <w:b w:val="0"/>
                <w:i w:val="0"/>
                <w:color w:val="000000"/>
                <w:sz w:val="21"/>
              </w:rPr>
              <w:t>NORTH: Indian River/St. Lucie County line</w:t>
            </w:r>
          </w:p>
        </w:tc>
      </w:tr>
      <w:tr>
        <w:tc>
          <w:tcPr>
            <w:tcW w:type="dxa" w:w="9360"/>
            <w:vAlign w:val="center"/>
          </w:tcPr>
          <w:p>
            <w:pPr>
              <w:spacing w:after="40" w:before="40"/>
              <w:jc w:val="center"/>
            </w:pPr>
            <w:r>
              <w:rPr>
                <w:rFonts w:ascii="Calibri" w:hAnsi="Calibri"/>
                <w:b w:val="0"/>
                <w:i w:val="0"/>
                <w:color w:val="000000"/>
                <w:sz w:val="21"/>
              </w:rPr>
              <w:t>SR A1A south along North Hutchinson Island</w:t>
            </w:r>
          </w:p>
        </w:tc>
      </w:tr>
      <w:tr>
        <w:tc>
          <w:tcPr>
            <w:tcW w:type="dxa" w:w="9360"/>
            <w:vAlign w:val="center"/>
            <w:shd w:fill="DDEBF7"/>
          </w:tcPr>
          <w:p>
            <w:pPr>
              <w:spacing w:after="40" w:before="40"/>
              <w:jc w:val="center"/>
            </w:pPr>
            <w:r>
              <w:rPr>
                <w:rFonts w:ascii="Calibri" w:hAnsi="Calibri"/>
                <w:b/>
                <w:i w:val="0"/>
                <w:color w:val="000000"/>
                <w:sz w:val="21"/>
              </w:rPr>
              <w:t>LITTLE JIM - 601 North Causeway - historic scenic-highway point of interest</w:t>
            </w:r>
          </w:p>
        </w:tc>
      </w:tr>
      <w:tr>
        <w:tc>
          <w:tcPr>
            <w:tcW w:type="dxa" w:w="9360"/>
            <w:vAlign w:val="center"/>
          </w:tcPr>
          <w:p>
            <w:pPr>
              <w:spacing w:after="40" w:before="40"/>
              <w:jc w:val="center"/>
            </w:pPr>
            <w:r>
              <w:rPr>
                <w:rFonts w:ascii="Calibri" w:hAnsi="Calibri"/>
                <w:b w:val="0"/>
                <w:i w:val="0"/>
                <w:color w:val="000000"/>
                <w:sz w:val="21"/>
              </w:rPr>
              <w:t>North Causeway/A1A crossing over the Indian River Lagoon to U.S. 1</w:t>
            </w:r>
          </w:p>
        </w:tc>
      </w:tr>
      <w:tr>
        <w:tc>
          <w:tcPr>
            <w:tcW w:type="dxa" w:w="9360"/>
            <w:vAlign w:val="center"/>
          </w:tcPr>
          <w:p>
            <w:pPr>
              <w:spacing w:after="40" w:before="40"/>
              <w:jc w:val="center"/>
            </w:pPr>
            <w:r>
              <w:rPr>
                <w:rFonts w:ascii="Calibri" w:hAnsi="Calibri"/>
                <w:b w:val="0"/>
                <w:i w:val="0"/>
                <w:color w:val="000000"/>
                <w:sz w:val="21"/>
              </w:rPr>
              <w:t>U.S. 1 south to South A1A / Seaway Drive</w:t>
            </w:r>
          </w:p>
        </w:tc>
      </w:tr>
      <w:tr>
        <w:tc>
          <w:tcPr>
            <w:tcW w:type="dxa" w:w="9360"/>
            <w:vAlign w:val="center"/>
            <w:shd w:fill="DDEBF7"/>
          </w:tcPr>
          <w:p>
            <w:pPr>
              <w:spacing w:after="40" w:before="40"/>
              <w:jc w:val="center"/>
            </w:pPr>
            <w:r>
              <w:rPr>
                <w:rFonts w:ascii="Calibri" w:hAnsi="Calibri"/>
                <w:b/>
                <w:i w:val="0"/>
                <w:color w:val="000000"/>
                <w:sz w:val="21"/>
              </w:rPr>
              <w:t>CAUSEWAY COVE - waterfront site at/adjacent to Seaway Drive and South Causeway gateway</w:t>
            </w:r>
          </w:p>
        </w:tc>
      </w:tr>
      <w:tr>
        <w:tc>
          <w:tcPr>
            <w:tcW w:type="dxa" w:w="9360"/>
            <w:vAlign w:val="center"/>
            <w:shd w:fill="F2F4F7"/>
          </w:tcPr>
          <w:p>
            <w:pPr>
              <w:spacing w:after="40" w:before="40"/>
              <w:jc w:val="center"/>
            </w:pPr>
            <w:r>
              <w:rPr>
                <w:rFonts w:ascii="Calibri" w:hAnsi="Calibri"/>
                <w:b w:val="0"/>
                <w:i w:val="0"/>
                <w:color w:val="000000"/>
                <w:sz w:val="21"/>
              </w:rPr>
              <w:t>SOUTH: SR A1A toward the St. Lucie/Martin County line</w:t>
              <w:br/>
              <w:t>Parallel branch: Indian River Drive/SR 707 north to Seaway Drive</w:t>
            </w:r>
          </w:p>
        </w:tc>
      </w:tr>
    </w:tbl>
    <w:p>
      <w:pPr>
        <w:spacing w:after="240" w:line="264" w:lineRule="auto"/>
      </w:pPr>
      <w:r>
        <w:rPr>
          <w:rFonts w:ascii="Calibri" w:hAnsi="Calibri"/>
          <w:b w:val="0"/>
          <w:i w:val="0"/>
          <w:color w:val="000000"/>
          <w:sz w:val="22"/>
        </w:rPr>
        <w:t>This route exhibit is a textual locator derived from the official Corridor Management Plan. It does not replace FDOT's controlling designation letter or GIS roadway limits, which this letter asks USDOT/FHWA to obtain and confirm.</w:t>
      </w:r>
    </w:p>
    <w:p>
      <w:pPr>
        <w:spacing w:after="160" w:line="264" w:lineRule="auto"/>
      </w:pPr>
      <w:r>
        <w:rPr>
          <w:rFonts w:ascii="Calibri" w:hAnsi="Calibri"/>
          <w:b w:val="0"/>
          <w:i w:val="0"/>
          <w:color w:val="000000"/>
          <w:sz w:val="22"/>
        </w:rPr>
        <w:t>Little Jim's official scenic-highway listing coordinates: 27.478395, -80.312421. The official interactive listing identifies the site as historic and describes its military history and continuing recreational-waterfront functions.</w:t>
      </w:r>
    </w:p>
    <w:p>
      <w:r>
        <w:br w:type="page"/>
      </w:r>
    </w:p>
    <w:p>
      <w:pPr>
        <w:spacing w:after="160"/>
      </w:pPr>
    </w:p>
    <w:p>
      <w:pPr>
        <w:spacing w:before="480"/>
        <w:jc w:val="center"/>
      </w:pPr>
      <w:r>
        <w:rPr>
          <w:rFonts w:ascii="Calibri" w:hAnsi="Calibri"/>
          <w:b/>
          <w:i w:val="0"/>
          <w:color w:val="1F4E79"/>
          <w:sz w:val="32"/>
        </w:rPr>
        <w:t>EXHIBIT B</w:t>
      </w:r>
    </w:p>
    <w:p>
      <w:pPr>
        <w:spacing w:after="280"/>
        <w:jc w:val="center"/>
      </w:pPr>
      <w:r>
        <w:rPr>
          <w:rFonts w:ascii="Calibri" w:hAnsi="Calibri"/>
          <w:b/>
          <w:i w:val="0"/>
          <w:color w:val="000000"/>
          <w:sz w:val="26"/>
        </w:rPr>
        <w:t>GOVERNING AUTHORITIES AND OFFICIAL SOURCES</w:t>
      </w:r>
    </w:p>
    <w:p>
      <w:pPr>
        <w:spacing w:after="40"/>
        <w:keepNext/>
      </w:pPr>
      <w:r>
        <w:rPr>
          <w:rFonts w:ascii="Calibri" w:hAnsi="Calibri"/>
          <w:b/>
          <w:i w:val="0"/>
          <w:color w:val="1F4E79"/>
          <w:sz w:val="22"/>
        </w:rPr>
        <w:t>23 U.S.C. § 162</w:t>
      </w:r>
    </w:p>
    <w:p>
      <w:pPr>
        <w:spacing w:after="40" w:line="264" w:lineRule="auto"/>
      </w:pPr>
      <w:r>
        <w:rPr>
          <w:rFonts w:ascii="Calibri" w:hAnsi="Calibri"/>
          <w:b w:val="0"/>
          <w:i w:val="0"/>
          <w:color w:val="000000"/>
          <w:sz w:val="22"/>
        </w:rPr>
        <w:t>National Scenic Byways Program; recognition and support for roads with scenic, historic, cultural, natural, recreational, and archaeological qualities.</w:t>
      </w:r>
    </w:p>
    <w:p>
      <w:pPr>
        <w:spacing w:after="160"/>
      </w:pPr>
      <w:r>
        <w:rPr>
          <w:rFonts w:ascii="Calibri" w:hAnsi="Calibri"/>
          <w:b w:val="0"/>
          <w:i w:val="0"/>
          <w:color w:val="5A5A5A"/>
          <w:sz w:val="18"/>
        </w:rPr>
        <w:t>https://uscode.house.gov/view.xhtml?req=granuleid:USC-prelim-title23-section162</w:t>
      </w:r>
    </w:p>
    <w:p>
      <w:pPr>
        <w:spacing w:after="40"/>
        <w:keepNext/>
      </w:pPr>
      <w:r>
        <w:rPr>
          <w:rFonts w:ascii="Calibri" w:hAnsi="Calibri"/>
          <w:b/>
          <w:i w:val="0"/>
          <w:color w:val="1F4E79"/>
          <w:sz w:val="22"/>
        </w:rPr>
        <w:t>23 U.S.C. § 109(h)</w:t>
      </w:r>
    </w:p>
    <w:p>
      <w:pPr>
        <w:spacing w:after="40" w:line="264" w:lineRule="auto"/>
      </w:pPr>
      <w:r>
        <w:rPr>
          <w:rFonts w:ascii="Calibri" w:hAnsi="Calibri"/>
          <w:b w:val="0"/>
          <w:i w:val="0"/>
          <w:color w:val="000000"/>
          <w:sz w:val="22"/>
        </w:rPr>
        <w:t>Consideration of economic, social, environmental, and other effects of federal highway projects.</w:t>
      </w:r>
    </w:p>
    <w:p>
      <w:pPr>
        <w:spacing w:after="160"/>
      </w:pPr>
      <w:r>
        <w:rPr>
          <w:rFonts w:ascii="Calibri" w:hAnsi="Calibri"/>
          <w:b w:val="0"/>
          <w:i w:val="0"/>
          <w:color w:val="5A5A5A"/>
          <w:sz w:val="18"/>
        </w:rPr>
        <w:t>https://uscode.house.gov/view.xhtml?req=granuleid:USC-prelim-title23-section109</w:t>
      </w:r>
    </w:p>
    <w:p>
      <w:pPr>
        <w:spacing w:after="40"/>
        <w:keepNext/>
      </w:pPr>
      <w:r>
        <w:rPr>
          <w:rFonts w:ascii="Calibri" w:hAnsi="Calibri"/>
          <w:b/>
          <w:i w:val="0"/>
          <w:color w:val="1F4E79"/>
          <w:sz w:val="22"/>
        </w:rPr>
        <w:t>23 C.F.R. Part 771</w:t>
      </w:r>
    </w:p>
    <w:p>
      <w:pPr>
        <w:spacing w:after="40" w:line="264" w:lineRule="auto"/>
      </w:pPr>
      <w:r>
        <w:rPr>
          <w:rFonts w:ascii="Calibri" w:hAnsi="Calibri"/>
          <w:b w:val="0"/>
          <w:i w:val="0"/>
          <w:color w:val="000000"/>
          <w:sz w:val="22"/>
        </w:rPr>
        <w:t>Environmental impact and related procedures for FHWA and other transportation actions.</w:t>
      </w:r>
    </w:p>
    <w:p>
      <w:pPr>
        <w:spacing w:after="160"/>
      </w:pPr>
      <w:r>
        <w:rPr>
          <w:rFonts w:ascii="Calibri" w:hAnsi="Calibri"/>
          <w:b w:val="0"/>
          <w:i w:val="0"/>
          <w:color w:val="5A5A5A"/>
          <w:sz w:val="18"/>
        </w:rPr>
        <w:t>https://www.ecfr.gov/current/title-23/chapter-I/subchapter-H/part-771</w:t>
      </w:r>
    </w:p>
    <w:p>
      <w:pPr>
        <w:spacing w:after="40"/>
        <w:keepNext/>
      </w:pPr>
      <w:r>
        <w:rPr>
          <w:rFonts w:ascii="Calibri" w:hAnsi="Calibri"/>
          <w:b/>
          <w:i w:val="0"/>
          <w:color w:val="1F4E79"/>
          <w:sz w:val="22"/>
        </w:rPr>
        <w:t>Fla. Stat. § 335.093</w:t>
      </w:r>
    </w:p>
    <w:p>
      <w:pPr>
        <w:spacing w:after="40" w:line="264" w:lineRule="auto"/>
      </w:pPr>
      <w:r>
        <w:rPr>
          <w:rFonts w:ascii="Calibri" w:hAnsi="Calibri"/>
          <w:b w:val="0"/>
          <w:i w:val="0"/>
          <w:color w:val="000000"/>
          <w:sz w:val="22"/>
        </w:rPr>
        <w:t>Florida scenic-highway designation and statutory preservation purpose.</w:t>
      </w:r>
    </w:p>
    <w:p>
      <w:pPr>
        <w:spacing w:after="160"/>
      </w:pPr>
      <w:r>
        <w:rPr>
          <w:rFonts w:ascii="Calibri" w:hAnsi="Calibri"/>
          <w:b w:val="0"/>
          <w:i w:val="0"/>
          <w:color w:val="5A5A5A"/>
          <w:sz w:val="18"/>
        </w:rPr>
        <w:t>https://www.flsenate.gov/Laws/Statutes/2026/335.093</w:t>
      </w:r>
    </w:p>
    <w:p>
      <w:pPr>
        <w:spacing w:after="40"/>
        <w:keepNext/>
      </w:pPr>
      <w:r>
        <w:rPr>
          <w:rFonts w:ascii="Calibri" w:hAnsi="Calibri"/>
          <w:b/>
          <w:i w:val="0"/>
          <w:color w:val="1F4E79"/>
          <w:sz w:val="22"/>
        </w:rPr>
        <w:t>Fla. Admin. Code R. 14-15.016</w:t>
      </w:r>
    </w:p>
    <w:p>
      <w:pPr>
        <w:spacing w:after="40" w:line="264" w:lineRule="auto"/>
      </w:pPr>
      <w:r>
        <w:rPr>
          <w:rFonts w:ascii="Calibri" w:hAnsi="Calibri"/>
          <w:b w:val="0"/>
          <w:i w:val="0"/>
          <w:color w:val="000000"/>
          <w:sz w:val="22"/>
        </w:rPr>
        <w:t>FDOT scenic-highway designation under the Florida Scenic Highways Program.</w:t>
      </w:r>
    </w:p>
    <w:p>
      <w:pPr>
        <w:spacing w:after="160"/>
      </w:pPr>
      <w:r>
        <w:rPr>
          <w:rFonts w:ascii="Calibri" w:hAnsi="Calibri"/>
          <w:b w:val="0"/>
          <w:i w:val="0"/>
          <w:color w:val="5A5A5A"/>
          <w:sz w:val="18"/>
        </w:rPr>
        <w:t>https://www.flrules.org/gateway/RuleNo.asp?title=TRANSPORTATION%20PLANNING&amp;ID=14-15.016</w:t>
      </w:r>
    </w:p>
    <w:p>
      <w:pPr>
        <w:spacing w:after="40"/>
        <w:keepNext/>
      </w:pPr>
      <w:r>
        <w:rPr>
          <w:rFonts w:ascii="Calibri" w:hAnsi="Calibri"/>
          <w:b/>
          <w:i w:val="0"/>
          <w:color w:val="1F4E79"/>
          <w:sz w:val="22"/>
        </w:rPr>
        <w:t>Treasure Coast Scenic Highway CMP Update</w:t>
      </w:r>
    </w:p>
    <w:p>
      <w:pPr>
        <w:spacing w:after="40" w:line="264" w:lineRule="auto"/>
      </w:pPr>
      <w:r>
        <w:rPr>
          <w:rFonts w:ascii="Calibri" w:hAnsi="Calibri"/>
          <w:b w:val="0"/>
          <w:i w:val="0"/>
          <w:color w:val="000000"/>
          <w:sz w:val="22"/>
        </w:rPr>
        <w:t>Official route description, corridor resources, vision, protection techniques, and governmental commitments.</w:t>
      </w:r>
    </w:p>
    <w:p>
      <w:pPr>
        <w:spacing w:after="160"/>
      </w:pPr>
      <w:r>
        <w:rPr>
          <w:rFonts w:ascii="Calibri" w:hAnsi="Calibri"/>
          <w:b w:val="0"/>
          <w:i w:val="0"/>
          <w:color w:val="5A5A5A"/>
          <w:sz w:val="18"/>
        </w:rPr>
        <w:t>https://floridascenichighways.com/wp-content/uploads/2019/07/5YRCMPUpdate.pdf</w:t>
      </w:r>
    </w:p>
    <w:p>
      <w:pPr>
        <w:spacing w:after="40"/>
        <w:keepNext/>
      </w:pPr>
      <w:r>
        <w:rPr>
          <w:rFonts w:ascii="Calibri" w:hAnsi="Calibri"/>
          <w:b/>
          <w:i w:val="0"/>
          <w:color w:val="1F4E79"/>
          <w:sz w:val="22"/>
        </w:rPr>
        <w:t>Official Little Jim scenic-highway listing</w:t>
      </w:r>
    </w:p>
    <w:p>
      <w:pPr>
        <w:spacing w:after="40" w:line="264" w:lineRule="auto"/>
      </w:pPr>
      <w:r>
        <w:rPr>
          <w:rFonts w:ascii="Calibri" w:hAnsi="Calibri"/>
          <w:b w:val="0"/>
          <w:i w:val="0"/>
          <w:color w:val="000000"/>
          <w:sz w:val="22"/>
        </w:rPr>
        <w:t>Historic point-of-interest listing and project coordinates.</w:t>
      </w:r>
    </w:p>
    <w:p>
      <w:pPr>
        <w:spacing w:after="160"/>
      </w:pPr>
      <w:r>
        <w:rPr>
          <w:rFonts w:ascii="Calibri" w:hAnsi="Calibri"/>
          <w:b w:val="0"/>
          <w:i w:val="0"/>
          <w:color w:val="5A5A5A"/>
          <w:sz w:val="18"/>
        </w:rPr>
        <w:t>https://treasurecoastscenichighway.com/crmap/index.php?c=9&amp;p=17&amp;project=yes&amp;showonlyp=yes</w:t>
      </w:r>
    </w:p>
    <w:p>
      <w:pPr>
        <w:spacing w:after="40"/>
        <w:keepNext/>
      </w:pPr>
      <w:r>
        <w:rPr>
          <w:rFonts w:ascii="Calibri" w:hAnsi="Calibri"/>
          <w:b/>
          <w:i w:val="0"/>
          <w:color w:val="1F4E79"/>
          <w:sz w:val="22"/>
        </w:rPr>
        <w:t>USDOT Office of Public Liaison</w:t>
      </w:r>
    </w:p>
    <w:p>
      <w:pPr>
        <w:spacing w:after="40" w:line="264" w:lineRule="auto"/>
      </w:pPr>
      <w:r>
        <w:rPr>
          <w:rFonts w:ascii="Calibri" w:hAnsi="Calibri"/>
          <w:b w:val="0"/>
          <w:i w:val="0"/>
          <w:color w:val="000000"/>
          <w:sz w:val="22"/>
        </w:rPr>
        <w:t>Secretary-level community liaison office.</w:t>
      </w:r>
    </w:p>
    <w:p>
      <w:pPr>
        <w:spacing w:after="160"/>
      </w:pPr>
      <w:r>
        <w:rPr>
          <w:rFonts w:ascii="Calibri" w:hAnsi="Calibri"/>
          <w:b w:val="0"/>
          <w:i w:val="0"/>
          <w:color w:val="5A5A5A"/>
          <w:sz w:val="18"/>
        </w:rPr>
        <w:t>https://www.transportation.gov/office-public-liaison</w:t>
      </w:r>
    </w:p>
    <w:sectPr w:rsidR="00FC693F" w:rsidRPr="0006063C" w:rsidSect="00034616">
      <w:headerReference w:type="default" r:id="rId9"/>
      <w:footerReference w:type="default" r:id="rId10"/>
      <w:pgSz w:w="12240" w:h="15840"/>
      <w:pgMar w:top="1123" w:right="1440" w:bottom="1123" w:left="1440" w:header="605" w:footer="605"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b w:val="0"/>
        <w:i w:val="0"/>
        <w:color w:val="5A5A5A"/>
        <w:sz w:val="18"/>
      </w:rPr>
      <w:t>Request for USDOT/FHWA Review - Fort Pierce Scenic Waterfront Corridor</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Calibri" w:hAnsi="Calibri"/>
        <w:b/>
        <w:i w:val="0"/>
        <w:color w:val="5A5A5A"/>
        <w:sz w:val="18"/>
      </w:rPr>
      <w:t>KEVIN S. KEENE  |  FORT PIERCE, FLORIDA</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264" w:lineRule="auto"/>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20"/>
      <w:outlineLvl w:val="0"/>
    </w:pPr>
    <w:rPr>
      <w:rFonts w:asciiTheme="majorHAnsi" w:eastAsiaTheme="majorEastAsia" w:hAnsiTheme="majorHAnsi" w:cstheme="majorBidi" w:ascii="Calibri" w:hAnsi="Calibri"/>
      <w:b/>
      <w:bCs/>
      <w:color w:val="1F4E79"/>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1F4E79"/>
      <w:sz w:val="26"/>
      <w:szCs w:val="26"/>
    </w:rPr>
  </w:style>
  <w:style w:type="paragraph" w:styleId="Heading3">
    <w:name w:val="heading 3"/>
    <w:basedOn w:val="Normal"/>
    <w:next w:val="Normal"/>
    <w:link w:val="Heading3Char"/>
    <w:uiPriority w:val="9"/>
    <w:unhideWhenUsed/>
    <w:qFormat/>
    <w:rsid w:val="00FC693F"/>
    <w:pPr>
      <w:keepNext/>
      <w:keepLines/>
      <w:spacing w:before="240" w:after="120"/>
      <w:outlineLvl w:val="2"/>
    </w:pPr>
    <w:rPr>
      <w:rFonts w:asciiTheme="majorHAnsi" w:eastAsiaTheme="majorEastAsia" w:hAnsiTheme="majorHAnsi" w:cstheme="majorBidi" w:ascii="Calibri" w:hAnsi="Calibri"/>
      <w:b/>
      <w:bCs/>
      <w:color w:val="1F4E79"/>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USDOT/FHWA Review - Little Jim and Causeway Cove</dc:title>
  <dc:subject>Indian River Lagoon-Treasure Coast Scenic Highway</dc:subject>
  <dc:creator>Kevin S. Keene</dc:creator>
  <cp:keywords/>
  <dc:description>generated by python-docx</dc:description>
  <cp:lastModifiedBy/>
  <cp:revision>1</cp:revision>
  <dcterms:created xsi:type="dcterms:W3CDTF">2013-12-23T23:15:00Z</dcterms:created>
  <dcterms:modified xsi:type="dcterms:W3CDTF">2013-12-23T23:15:00Z</dcterms:modified>
  <cp:category/>
</cp:coreProperties>
</file>