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0E3B2" w14:textId="2F271DB0" w:rsidR="00FF24B5" w:rsidRPr="00FF24B5" w:rsidRDefault="00FF24B5">
      <w:pPr>
        <w:rPr>
          <w:b/>
          <w:bCs/>
        </w:rPr>
      </w:pPr>
      <w:r w:rsidRPr="00FF24B5">
        <w:rPr>
          <w:b/>
          <w:bCs/>
        </w:rPr>
        <w:t>Public Stake Holders Speak Out – Kings Landing</w:t>
      </w:r>
    </w:p>
    <w:p w14:paraId="342E67C7" w14:textId="77777777" w:rsidR="00FF24B5" w:rsidRDefault="00FF24B5"/>
    <w:p w14:paraId="73AF11B6" w14:textId="757C1494" w:rsidR="00FF24B5" w:rsidRDefault="00FF24B5">
      <w:r>
        <w:t>FORT PIERCE — A sudden change in oversight for the controversial King’s Landing project and questions about Marriott’s commitment dominated discussion during the fourth-quarter update presented to the City Commission on Jan. 13. Local activists criticized the project’s progress, while commissioners expressed concerns over the oversight transition and potential delays. Even before the agenda item was addressed, two citizens voiced their frustration. Gus Gutierrez, developer of the downtown Galleria, condemned the recent sale of the villas portion of the project. “I’m dissatisfied with how you approved the splitting of properties for the hotel project,” he said. “There should have been contingencies like escrow requirements, especially given the lack of a surety bond. We’ve had delays for six years with a developer who hasn’t been trustworthy.” Search For Rugs Online Now Search for Affordable Rug Deals Online on Yahoo. View top results now. Yahoo Open Activist Chris Einstein, who had sent a letter of protest the previous week, spoke in person to criticize the transition from Harbert Realty to Live Oak Contracting as the lead development partner. “You keep making changes and allowing delays,” she said. “Now there’s a new player involved. This project feels like a shell game.” Einstein also questioned whether Fort Pierce could sustain a Marriott Tribute hotel, a key component of the project. “I’m a Marriott Elite member, so I know their brands,” she said. “As much as I’d love to see a Tribute or Autograph hotel, can this area support the required price range? We need updated stats to ensure this is the right fit.” Scott Hawkins, legal counsel for Audubon Development, addressed the transition, emphasizing Marriott’s commitment and the new partnership with Live Oak. “The big picture is Marriott and Mainsail Lodging &amp; Development are on board,” Hawkins said. “Bill Ware has transitioned to Live Oak, which is stepping into Harbert’s role. Mainsail plans to submit their franchise application ahead of schedule.” Ware, now overseeing the project as development manager, elaborated on the changes. “Live Oak will take over as general partner, with Audubon stepping back to a limited role,” Ware explained. “We’ve finalized terms and are drafting the necessary documents. Marriott is committed, and Mainsail will submit the franchise application by Jan. 20, ahead of the Jan. 29 deadline. We’re on schedule and excited about the progress</w:t>
      </w:r>
      <w:r>
        <w:t xml:space="preserve">. </w:t>
      </w:r>
      <w:r>
        <w:t xml:space="preserve">However, Ware noted the project would require site plan changes, including some requested by Marriott, which would necessitate city review. “We’ve had meetings with department heads to ensure everyone is aligned,” Ware said. “These changes will enhance the project’s market appeal, but we’ll need additional time for city review.” Commissioner Michael Broderick pressed Ware on the timeline for Marriott’s approval process. Ware admitted he lacked detailed information, promising updates after consulting with Marriott and Mainsail representatives, who were not present at the meeting. Broderick also questioned the transition from Harbert </w:t>
      </w:r>
      <w:r>
        <w:lastRenderedPageBreak/>
        <w:t xml:space="preserve">to Live Oak, which Ware said stemmed from his own career move. Commissioner Arnold Gaines, a previous opponent of the project’s second amendment, expressed skepticism about approving further changes. City Attorney Sarah Hedges clarified that denying the proposed third amendment to replace Harbert with Live Oak could trigger a default. “The second amendment required finalization of the joint venture between Audubon and Harbert within 180 days,” Hedges said. “Replacing Harbert with Live Oak would necessitate a third amendment.” The Commission also debated whether site plan changes could cause delays and lead to contractual defaults. Broderick insisted the issue stemmed from the city’s oversight requirements. “This timeline issue isn’t on the developer,” he said. “It’s about the process – multiple boards, public notices, and final approval by this Commission.” As of press time, the Commission was set to vote on the third amendment on Jan. 21. </w:t>
      </w:r>
    </w:p>
    <w:sectPr w:rsidR="00FF2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B5"/>
    <w:rsid w:val="006451D9"/>
    <w:rsid w:val="00FF2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312F4"/>
  <w15:chartTrackingRefBased/>
  <w15:docId w15:val="{63444643-65DA-4D79-BD52-411C89DCA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4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4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4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4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4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4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4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4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4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4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4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4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4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4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4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4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4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4B5"/>
    <w:rPr>
      <w:rFonts w:eastAsiaTheme="majorEastAsia" w:cstheme="majorBidi"/>
      <w:color w:val="272727" w:themeColor="text1" w:themeTint="D8"/>
    </w:rPr>
  </w:style>
  <w:style w:type="paragraph" w:styleId="Title">
    <w:name w:val="Title"/>
    <w:basedOn w:val="Normal"/>
    <w:next w:val="Normal"/>
    <w:link w:val="TitleChar"/>
    <w:uiPriority w:val="10"/>
    <w:qFormat/>
    <w:rsid w:val="00FF2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4B5"/>
    <w:pPr>
      <w:spacing w:before="160"/>
      <w:jc w:val="center"/>
    </w:pPr>
    <w:rPr>
      <w:i/>
      <w:iCs/>
      <w:color w:val="404040" w:themeColor="text1" w:themeTint="BF"/>
    </w:rPr>
  </w:style>
  <w:style w:type="character" w:customStyle="1" w:styleId="QuoteChar">
    <w:name w:val="Quote Char"/>
    <w:basedOn w:val="DefaultParagraphFont"/>
    <w:link w:val="Quote"/>
    <w:uiPriority w:val="29"/>
    <w:rsid w:val="00FF24B5"/>
    <w:rPr>
      <w:i/>
      <w:iCs/>
      <w:color w:val="404040" w:themeColor="text1" w:themeTint="BF"/>
    </w:rPr>
  </w:style>
  <w:style w:type="paragraph" w:styleId="ListParagraph">
    <w:name w:val="List Paragraph"/>
    <w:basedOn w:val="Normal"/>
    <w:uiPriority w:val="34"/>
    <w:qFormat/>
    <w:rsid w:val="00FF24B5"/>
    <w:pPr>
      <w:ind w:left="720"/>
      <w:contextualSpacing/>
    </w:pPr>
  </w:style>
  <w:style w:type="character" w:styleId="IntenseEmphasis">
    <w:name w:val="Intense Emphasis"/>
    <w:basedOn w:val="DefaultParagraphFont"/>
    <w:uiPriority w:val="21"/>
    <w:qFormat/>
    <w:rsid w:val="00FF24B5"/>
    <w:rPr>
      <w:i/>
      <w:iCs/>
      <w:color w:val="0F4761" w:themeColor="accent1" w:themeShade="BF"/>
    </w:rPr>
  </w:style>
  <w:style w:type="paragraph" w:styleId="IntenseQuote">
    <w:name w:val="Intense Quote"/>
    <w:basedOn w:val="Normal"/>
    <w:next w:val="Normal"/>
    <w:link w:val="IntenseQuoteChar"/>
    <w:uiPriority w:val="30"/>
    <w:qFormat/>
    <w:rsid w:val="00FF24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4B5"/>
    <w:rPr>
      <w:i/>
      <w:iCs/>
      <w:color w:val="0F4761" w:themeColor="accent1" w:themeShade="BF"/>
    </w:rPr>
  </w:style>
  <w:style w:type="character" w:styleId="IntenseReference">
    <w:name w:val="Intense Reference"/>
    <w:basedOn w:val="DefaultParagraphFont"/>
    <w:uiPriority w:val="32"/>
    <w:qFormat/>
    <w:rsid w:val="00FF24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3434</Characters>
  <Application>Microsoft Office Word</Application>
  <DocSecurity>0</DocSecurity>
  <Lines>47</Lines>
  <Paragraphs>1</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Keen</dc:creator>
  <cp:keywords/>
  <dc:description/>
  <cp:lastModifiedBy>Kevin Keen</cp:lastModifiedBy>
  <cp:revision>2</cp:revision>
  <dcterms:created xsi:type="dcterms:W3CDTF">2026-03-28T23:48:00Z</dcterms:created>
  <dcterms:modified xsi:type="dcterms:W3CDTF">2026-03-28T23:48:00Z</dcterms:modified>
</cp:coreProperties>
</file>