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1C11C" w14:textId="0AC82625" w:rsidR="00686930" w:rsidRDefault="00000000">
      <w:pPr>
        <w:jc w:val="center"/>
      </w:pPr>
      <w:r>
        <w:rPr>
          <w:b/>
          <w:sz w:val="36"/>
        </w:rPr>
        <w:t>KING'S LANDING</w:t>
      </w:r>
      <w:r>
        <w:rPr>
          <w:b/>
          <w:sz w:val="36"/>
        </w:rPr>
        <w:br/>
      </w:r>
      <w:r>
        <w:rPr>
          <w:b/>
          <w:sz w:val="28"/>
        </w:rPr>
        <w:t>News Interview Statement</w:t>
      </w:r>
    </w:p>
    <w:p w14:paraId="44F4B6B2" w14:textId="77777777" w:rsidR="00686930" w:rsidRDefault="00000000">
      <w:pPr>
        <w:spacing w:after="120" w:line="252" w:lineRule="auto"/>
      </w:pPr>
      <w:r>
        <w:t xml:space="preserve">Good </w:t>
      </w:r>
      <w:proofErr w:type="gramStart"/>
      <w:r>
        <w:t>morning, and</w:t>
      </w:r>
      <w:proofErr w:type="gramEnd"/>
      <w:r>
        <w:t xml:space="preserve"> thank you for the opportunity to speak about King's Landing.</w:t>
      </w:r>
    </w:p>
    <w:p w14:paraId="7B119A29" w14:textId="77777777" w:rsidR="00686930" w:rsidRDefault="00000000">
      <w:pPr>
        <w:spacing w:after="120" w:line="252" w:lineRule="auto"/>
      </w:pPr>
      <w:r>
        <w:t>I want to begin with an important distinction: I am not opposed to responsible development in Fort Pierce. I am opposed to public assets being tied up year after year in projects that repeatedly miss milestones while the public is asked to accept another amendment, another extension, and another explanation.</w:t>
      </w:r>
    </w:p>
    <w:p w14:paraId="6D540C61" w14:textId="77777777" w:rsidR="00686930" w:rsidRDefault="00000000">
      <w:pPr>
        <w:spacing w:after="120" w:line="252" w:lineRule="auto"/>
      </w:pPr>
      <w:r>
        <w:t>King's Landing was supposed to be a catalyst for downtown Fort Pierce. The City selected Audubon Development in 2019 for redevelopment of the former H.D. King Power Plant site. The project has changed structure and participants several times since then, and in June 2025 the City Commission unanimously approved Live Oak as the master developer.</w:t>
      </w:r>
    </w:p>
    <w:p w14:paraId="4C6BDE3F" w14:textId="77777777" w:rsidR="00686930" w:rsidRDefault="00000000">
      <w:pPr>
        <w:spacing w:after="120" w:line="252" w:lineRule="auto"/>
      </w:pPr>
      <w:r>
        <w:t>Today, the hotel and restaurant portion is again at a critical point.</w:t>
      </w:r>
    </w:p>
    <w:p w14:paraId="6139FE36" w14:textId="77777777" w:rsidR="00686930" w:rsidRDefault="00000000">
      <w:pPr>
        <w:spacing w:after="120" w:line="252" w:lineRule="auto"/>
      </w:pPr>
      <w:r>
        <w:t>Live Oak has told the City that it is approximately $15 million short of the financing needed for the hotel component and has requested 180 additional days to secure private equity. City officials have said the project cannot move forward until that remaining financing is obtained. The City Attorney has also confirmed that Live Oak is presently in breach of the development agreement because required deadlines were missed.</w:t>
      </w:r>
    </w:p>
    <w:p w14:paraId="08DA49F8" w14:textId="77777777" w:rsidR="00686930" w:rsidRDefault="00000000">
      <w:pPr>
        <w:spacing w:after="120" w:line="252" w:lineRule="auto"/>
      </w:pPr>
      <w:r>
        <w:t>This is not the first warning sign.</w:t>
      </w:r>
    </w:p>
    <w:p w14:paraId="3954553C" w14:textId="77777777" w:rsidR="00686930" w:rsidRDefault="00000000">
      <w:pPr>
        <w:spacing w:after="120" w:line="252" w:lineRule="auto"/>
      </w:pPr>
      <w:r>
        <w:t>Earlier this year, Live Oak missed a February 25 milestone for submission of hotel vertical plans. At the April redevelopment meeting, the City Attorney made clear that the missed milestone constituted a default under the agreement. At that time, the developer was already seeking revised deadlines and a proposed fourth amendment.</w:t>
      </w:r>
    </w:p>
    <w:p w14:paraId="7356A3BA" w14:textId="77777777" w:rsidR="00686930" w:rsidRDefault="00000000">
      <w:pPr>
        <w:spacing w:after="120" w:line="252" w:lineRule="auto"/>
      </w:pPr>
      <w:r>
        <w:t>Now, only months later, the issue is no longer simply scheduling. It is financing.</w:t>
      </w:r>
    </w:p>
    <w:p w14:paraId="5DD41AF8" w14:textId="77777777" w:rsidR="00686930" w:rsidRDefault="00000000">
      <w:pPr>
        <w:spacing w:after="120" w:line="252" w:lineRule="auto"/>
      </w:pPr>
      <w:r>
        <w:t>That distinction matters.</w:t>
      </w:r>
    </w:p>
    <w:p w14:paraId="2D1B7470" w14:textId="77777777" w:rsidR="00686930" w:rsidRDefault="00000000">
      <w:pPr>
        <w:spacing w:after="120" w:line="252" w:lineRule="auto"/>
      </w:pPr>
      <w:r>
        <w:t>A developer accepting control of a major public-private redevelopment has fundamental responsibilities: secure adequate financing, accurately estimate project costs, maintain realistic contingencies, meet contractual milestones, disclose material problems promptly, and perform the obligations it agreed to perform.</w:t>
      </w:r>
    </w:p>
    <w:p w14:paraId="114EA616" w14:textId="77777777" w:rsidR="00686930" w:rsidRDefault="00000000">
      <w:pPr>
        <w:spacing w:after="120" w:line="252" w:lineRule="auto"/>
      </w:pPr>
      <w:r>
        <w:t>Construction costs have increased. Interest rates and hotel financing conditions can change. Those are real business risks. But they are also precisely the kinds of risks an experienced developer is expected to evaluate before committing to a project of this magnitude.</w:t>
      </w:r>
    </w:p>
    <w:p w14:paraId="114652B7" w14:textId="77777777" w:rsidR="00686930" w:rsidRDefault="00000000">
      <w:pPr>
        <w:spacing w:after="120" w:line="252" w:lineRule="auto"/>
      </w:pPr>
      <w:r>
        <w:t>The public should not automatically become the financial contingency plan when private financing proves inadequate.</w:t>
      </w:r>
    </w:p>
    <w:p w14:paraId="51DFFD36" w14:textId="77777777" w:rsidR="00686930" w:rsidRDefault="00000000">
      <w:pPr>
        <w:spacing w:after="120" w:line="252" w:lineRule="auto"/>
      </w:pPr>
      <w:r>
        <w:t>And that brings me to the City's responsibility.</w:t>
      </w:r>
    </w:p>
    <w:p w14:paraId="1901EC71" w14:textId="77777777" w:rsidR="00686930" w:rsidRDefault="00000000">
      <w:pPr>
        <w:spacing w:after="120" w:line="252" w:lineRule="auto"/>
      </w:pPr>
      <w:r>
        <w:t>The Commission is not the contractor, and it is not responsible for raising Live Oak's private equity. But the Commission is the steward of the public asset. Its obligation is contract administration, risk management, and enforcement.</w:t>
      </w:r>
    </w:p>
    <w:p w14:paraId="79D86D22" w14:textId="77777777" w:rsidR="00686930" w:rsidRDefault="00000000">
      <w:pPr>
        <w:spacing w:after="120" w:line="252" w:lineRule="auto"/>
      </w:pPr>
      <w:r>
        <w:t>That means asking hard questions before deadlines are missed, not after.</w:t>
      </w:r>
    </w:p>
    <w:p w14:paraId="7EDFB97E" w14:textId="77777777" w:rsidR="00686930" w:rsidRDefault="00000000">
      <w:pPr>
        <w:spacing w:after="120" w:line="252" w:lineRule="auto"/>
      </w:pPr>
      <w:r>
        <w:t>Was financing capacity independently verified when Live Oak took control? Were financial milestones monitored continuously? When the February deadline was missed, what enhanced oversight was put in place? At what point does repeatedly amending the agreement stop being project management and start becoming an institutional tolerance for nonperformance?</w:t>
      </w:r>
    </w:p>
    <w:p w14:paraId="67DC189F" w14:textId="77777777" w:rsidR="00686930" w:rsidRDefault="00000000">
      <w:pPr>
        <w:spacing w:after="120" w:line="252" w:lineRule="auto"/>
      </w:pPr>
      <w:r>
        <w:lastRenderedPageBreak/>
        <w:t>Commissioner Chris Dzadovsky recently raised an important taxpayer issue. He stated that the property originally represented approximately $2.5 million in value as a public incentive and is now valued at roughly $8.5 million. When the developer then sought approximately $15 million in additional public financial participation, he calculated potential City exposure at roughly $23 million.</w:t>
      </w:r>
    </w:p>
    <w:p w14:paraId="01A983BA" w14:textId="77777777" w:rsidR="00686930" w:rsidRDefault="00000000">
      <w:pPr>
        <w:spacing w:after="120" w:line="252" w:lineRule="auto"/>
      </w:pPr>
      <w:r>
        <w:t>The Commission rejected that public-financing request, and I believe that was the correct decision.</w:t>
      </w:r>
    </w:p>
    <w:p w14:paraId="5F2F22A0" w14:textId="77777777" w:rsidR="00686930" w:rsidRDefault="00000000">
      <w:pPr>
        <w:spacing w:after="120" w:line="252" w:lineRule="auto"/>
      </w:pPr>
      <w:r>
        <w:t>Commissioner Michael Broderick has raised the competing concern that terminating the agreement and attempting to reclaim the property could result in costly, prolonged litigation. That concern also deserves serious consideration.</w:t>
      </w:r>
    </w:p>
    <w:p w14:paraId="2E504CD6" w14:textId="77777777" w:rsidR="00686930" w:rsidRDefault="00000000">
      <w:pPr>
        <w:spacing w:after="120" w:line="252" w:lineRule="auto"/>
      </w:pPr>
      <w:r>
        <w:t>But the choice should not be reduced to two extremes: either give the developer unlimited time or immediately enter years of litigation.</w:t>
      </w:r>
    </w:p>
    <w:p w14:paraId="59A08495" w14:textId="77777777" w:rsidR="00686930" w:rsidRDefault="00000000">
      <w:pPr>
        <w:spacing w:after="120" w:line="252" w:lineRule="auto"/>
      </w:pPr>
      <w:r>
        <w:t>The City should require measurable proof of performance.</w:t>
      </w:r>
    </w:p>
    <w:p w14:paraId="7E0B35F8" w14:textId="77777777" w:rsidR="00686930" w:rsidRDefault="00000000">
      <w:pPr>
        <w:spacing w:after="120" w:line="252" w:lineRule="auto"/>
      </w:pPr>
      <w:r>
        <w:t>If Live Oak is given additional time, the September decision should include hard, enforceable conditions: documented private financing commitments, specific deadlines, evidence of lender and equity participation, regular written progress reports, and clearly defined consequences if another milestone is missed.</w:t>
      </w:r>
    </w:p>
    <w:p w14:paraId="0F22763D" w14:textId="77777777" w:rsidR="00686930" w:rsidRDefault="00000000">
      <w:pPr>
        <w:spacing w:after="120" w:line="252" w:lineRule="auto"/>
      </w:pPr>
      <w:r>
        <w:t>No vague assurances. No open-ended extensions.</w:t>
      </w:r>
    </w:p>
    <w:p w14:paraId="381EC17A" w14:textId="77777777" w:rsidR="00686930" w:rsidRDefault="00000000">
      <w:pPr>
        <w:spacing w:after="120" w:line="252" w:lineRule="auto"/>
      </w:pPr>
      <w:r>
        <w:t>There is one important positive development: the Villas at King's Landing, being developed separately by INB Homes, are under construction. That proves something significant. Development can occur at King's Landing when a developer has financing, a defined scope, and executes.</w:t>
      </w:r>
    </w:p>
    <w:p w14:paraId="0EF12B75" w14:textId="77777777" w:rsidR="00686930" w:rsidRDefault="00000000">
      <w:pPr>
        <w:spacing w:after="120" w:line="252" w:lineRule="auto"/>
      </w:pPr>
      <w:r>
        <w:t>So the issue is not whether Fort Pierce is capable of supporting development at this site.</w:t>
      </w:r>
    </w:p>
    <w:p w14:paraId="551CDB94" w14:textId="77777777" w:rsidR="00686930" w:rsidRDefault="00000000">
      <w:pPr>
        <w:spacing w:after="120" w:line="252" w:lineRule="auto"/>
      </w:pPr>
      <w:r>
        <w:t>The issue is whether the remaining developer can perform the agreement it has made.</w:t>
      </w:r>
    </w:p>
    <w:p w14:paraId="4F209FD2" w14:textId="77777777" w:rsidR="00686930" w:rsidRDefault="00000000">
      <w:pPr>
        <w:spacing w:after="120" w:line="252" w:lineRule="auto"/>
      </w:pPr>
      <w:r>
        <w:t>On September 14, the City Commission is expected to reconsider Live Oak's request, followed by the Fort Pierce Redevelopment Agency on September 15.</w:t>
      </w:r>
    </w:p>
    <w:p w14:paraId="31A01A13" w14:textId="77777777" w:rsidR="00686930" w:rsidRDefault="00000000">
      <w:pPr>
        <w:spacing w:after="120" w:line="252" w:lineRule="auto"/>
      </w:pPr>
      <w:r>
        <w:t>That decision should not be about frustration, personalities, or saving face after years of investment.</w:t>
      </w:r>
    </w:p>
    <w:p w14:paraId="66151C1F" w14:textId="77777777" w:rsidR="00686930" w:rsidRDefault="00000000">
      <w:pPr>
        <w:spacing w:after="120" w:line="252" w:lineRule="auto"/>
      </w:pPr>
      <w:r>
        <w:t>It should be based on evidence.</w:t>
      </w:r>
    </w:p>
    <w:p w14:paraId="52E4CD91" w14:textId="77777777" w:rsidR="00686930" w:rsidRDefault="00000000">
      <w:pPr>
        <w:spacing w:after="120" w:line="252" w:lineRule="auto"/>
      </w:pPr>
      <w:r>
        <w:t>Show the financing.</w:t>
      </w:r>
      <w:r>
        <w:br/>
        <w:t>Show the commitments.</w:t>
      </w:r>
      <w:r>
        <w:br/>
        <w:t>Show the schedule.</w:t>
      </w:r>
      <w:r>
        <w:br/>
        <w:t>Show the milestones.</w:t>
      </w:r>
      <w:r>
        <w:br/>
        <w:t>And show the taxpayers exactly what happens if those commitments are missed again.</w:t>
      </w:r>
    </w:p>
    <w:p w14:paraId="2EAF1AA1" w14:textId="77777777" w:rsidR="00686930" w:rsidRDefault="00000000">
      <w:pPr>
        <w:spacing w:after="120" w:line="252" w:lineRule="auto"/>
      </w:pPr>
      <w:r>
        <w:t>Fort Pierce deserves development. But more importantly, Fort Pierce deserves competent development, disciplined contract management, and accountability for both the private developer and the public officials entrusted with protecting the City's assets.</w:t>
      </w:r>
    </w:p>
    <w:p w14:paraId="0E9D5BFF" w14:textId="77777777" w:rsidR="00686930" w:rsidRDefault="00000000">
      <w:pPr>
        <w:spacing w:after="120" w:line="252" w:lineRule="auto"/>
      </w:pPr>
      <w:r>
        <w:t>Thank you.</w:t>
      </w:r>
    </w:p>
    <w:p w14:paraId="45DF0061" w14:textId="77777777" w:rsidR="00686930" w:rsidRDefault="00000000">
      <w:r>
        <w:br w:type="page"/>
      </w:r>
    </w:p>
    <w:p w14:paraId="171E72AA" w14:textId="77777777" w:rsidR="00686930" w:rsidRDefault="00000000">
      <w:r>
        <w:rPr>
          <w:b/>
          <w:sz w:val="32"/>
        </w:rPr>
        <w:lastRenderedPageBreak/>
        <w:t>Interview Fact Sheet</w:t>
      </w:r>
    </w:p>
    <w:p w14:paraId="0621AD0B" w14:textId="77777777" w:rsidR="00686930" w:rsidRDefault="00000000">
      <w:pPr>
        <w:pStyle w:val="ListBullet"/>
      </w:pPr>
      <w:r>
        <w:rPr>
          <w:sz w:val="21"/>
        </w:rPr>
        <w:t>2019: Fort Pierce selected Audubon Development for the King's Landing redevelopment.</w:t>
      </w:r>
    </w:p>
    <w:p w14:paraId="54F824D5" w14:textId="77777777" w:rsidR="00686930" w:rsidRDefault="00000000">
      <w:pPr>
        <w:pStyle w:val="ListBullet"/>
      </w:pPr>
      <w:r>
        <w:rPr>
          <w:sz w:val="21"/>
        </w:rPr>
        <w:t>June 2025: The Fort Pierce City Commission unanimously approved Live Oak as master developer.</w:t>
      </w:r>
    </w:p>
    <w:p w14:paraId="4EA9F52A" w14:textId="77777777" w:rsidR="00686930" w:rsidRDefault="00000000">
      <w:pPr>
        <w:pStyle w:val="ListBullet"/>
      </w:pPr>
      <w:r>
        <w:rPr>
          <w:sz w:val="21"/>
        </w:rPr>
        <w:t>February 25, 2026: A hotel vertical-plan submission milestone was missed.</w:t>
      </w:r>
    </w:p>
    <w:p w14:paraId="692F3AC6" w14:textId="77777777" w:rsidR="00686930" w:rsidRDefault="00000000">
      <w:pPr>
        <w:pStyle w:val="ListBullet"/>
      </w:pPr>
      <w:r>
        <w:rPr>
          <w:sz w:val="21"/>
        </w:rPr>
        <w:t>April 2026: The City Attorney stated the missed milestone constituted a default under the development agreement.</w:t>
      </w:r>
    </w:p>
    <w:p w14:paraId="53EEBB0F" w14:textId="77777777" w:rsidR="00686930" w:rsidRDefault="00000000">
      <w:pPr>
        <w:pStyle w:val="ListBullet"/>
      </w:pPr>
      <w:r>
        <w:rPr>
          <w:sz w:val="21"/>
        </w:rPr>
        <w:t>August 2026: Live Oak disclosed an approximately $15 million financing gap for the hotel component and requested 180 additional days to secure private equity.</w:t>
      </w:r>
    </w:p>
    <w:p w14:paraId="088B1554" w14:textId="77777777" w:rsidR="00686930" w:rsidRDefault="00000000">
      <w:pPr>
        <w:pStyle w:val="ListBullet"/>
      </w:pPr>
      <w:r>
        <w:rPr>
          <w:sz w:val="21"/>
        </w:rPr>
        <w:t>The City/FPRA did not support a requested public financial commitment toward the $15 million gap.</w:t>
      </w:r>
    </w:p>
    <w:p w14:paraId="5ABDFA0D" w14:textId="77777777" w:rsidR="00686930" w:rsidRDefault="00000000">
      <w:pPr>
        <w:pStyle w:val="ListBullet"/>
      </w:pPr>
      <w:r>
        <w:rPr>
          <w:sz w:val="21"/>
        </w:rPr>
        <w:t>The City Attorney has confirmed Live Oak is currently in breach over missed deadlines.</w:t>
      </w:r>
    </w:p>
    <w:p w14:paraId="452EA9F3" w14:textId="77777777" w:rsidR="00686930" w:rsidRDefault="00000000">
      <w:pPr>
        <w:pStyle w:val="ListBullet"/>
      </w:pPr>
      <w:r>
        <w:rPr>
          <w:sz w:val="21"/>
        </w:rPr>
        <w:t>Commission discussion has referenced the public property's value increasing from about $2.5 million when originally provided as an incentive to about $8.5 million today.</w:t>
      </w:r>
    </w:p>
    <w:p w14:paraId="2A3AB854" w14:textId="77777777" w:rsidR="00686930" w:rsidRDefault="00000000">
      <w:pPr>
        <w:pStyle w:val="ListBullet"/>
      </w:pPr>
      <w:r>
        <w:rPr>
          <w:sz w:val="21"/>
        </w:rPr>
        <w:t>A special City Commission meeting is expected September 14, 2026, followed by an FPRA meeting September 15.</w:t>
      </w:r>
    </w:p>
    <w:p w14:paraId="29BE3B52" w14:textId="77777777" w:rsidR="00686930" w:rsidRDefault="00000000">
      <w:pPr>
        <w:pStyle w:val="ListBullet"/>
      </w:pPr>
      <w:r>
        <w:rPr>
          <w:sz w:val="21"/>
        </w:rPr>
        <w:t>The separate Villas at King's Landing project by INB Homes is under construction.</w:t>
      </w:r>
    </w:p>
    <w:p w14:paraId="01F6733D" w14:textId="77777777" w:rsidR="00686930" w:rsidRDefault="00686930"/>
    <w:sectPr w:rsidR="00686930"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95434360">
    <w:abstractNumId w:val="8"/>
  </w:num>
  <w:num w:numId="2" w16cid:durableId="573013275">
    <w:abstractNumId w:val="6"/>
  </w:num>
  <w:num w:numId="3" w16cid:durableId="610092642">
    <w:abstractNumId w:val="5"/>
  </w:num>
  <w:num w:numId="4" w16cid:durableId="1627613486">
    <w:abstractNumId w:val="4"/>
  </w:num>
  <w:num w:numId="5" w16cid:durableId="1457749945">
    <w:abstractNumId w:val="7"/>
  </w:num>
  <w:num w:numId="6" w16cid:durableId="2116360432">
    <w:abstractNumId w:val="3"/>
  </w:num>
  <w:num w:numId="7" w16cid:durableId="1879002209">
    <w:abstractNumId w:val="2"/>
  </w:num>
  <w:num w:numId="8" w16cid:durableId="679893587">
    <w:abstractNumId w:val="1"/>
  </w:num>
  <w:num w:numId="9" w16cid:durableId="1041200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6725"/>
    <w:rsid w:val="00686930"/>
    <w:rsid w:val="00AA1D8D"/>
    <w:rsid w:val="00B47730"/>
    <w:rsid w:val="00CB0664"/>
    <w:rsid w:val="00F668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CF6AB2"/>
  <w14:defaultImageDpi w14:val="300"/>
  <w15:docId w15:val="{84625354-A8C7-43EA-A8F8-2BD7A1CE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Keene</cp:lastModifiedBy>
  <cp:revision>2</cp:revision>
  <dcterms:created xsi:type="dcterms:W3CDTF">2013-12-23T23:15:00Z</dcterms:created>
  <dcterms:modified xsi:type="dcterms:W3CDTF">2026-08-12T12:59:00Z</dcterms:modified>
  <cp:category/>
</cp:coreProperties>
</file>