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0EB56" w14:textId="77777777" w:rsidR="006B5D0A" w:rsidRPr="006B5D0A" w:rsidRDefault="006B5D0A">
      <w:pPr>
        <w:rPr>
          <w:b/>
          <w:bCs/>
        </w:rPr>
      </w:pPr>
      <w:r w:rsidRPr="006B5D0A">
        <w:rPr>
          <w:b/>
          <w:bCs/>
        </w:rPr>
        <w:t>King’s Landing nearing legal deadline</w:t>
      </w:r>
      <w:r>
        <w:t xml:space="preserve"> </w:t>
      </w:r>
      <w:r>
        <w:t xml:space="preserve">- </w:t>
      </w:r>
      <w:r w:rsidRPr="006B5D0A">
        <w:rPr>
          <w:b/>
          <w:bCs/>
        </w:rPr>
        <w:t xml:space="preserve">Developer says delays due to pre-existing land conditions, financing issues By Donald Rodrigue </w:t>
      </w:r>
    </w:p>
    <w:p w14:paraId="18830656" w14:textId="77777777" w:rsidR="006B5D0A" w:rsidRDefault="006B5D0A"/>
    <w:p w14:paraId="72ADAF4E" w14:textId="3E9E303E" w:rsidR="006B5D0A" w:rsidRDefault="006B5D0A">
      <w:r>
        <w:t xml:space="preserve">FORT PIERCE — An update by the developer of King’s Landing to the Redevelopment Agency here on March 12 revealed substantial delays due to tons of unexpected debris buried underground on the old power plant property, environmental and title issues and multi-jurisdictional infrastructure that could result in a breach of contract timelines. Intense questioning by Fort Pierce Redevelopment Agency members of Audubon Development CEO Dale Matteson and his contracted engineers afterward revealed that the company was seriously in jeopardy of missing its first contractual deadline without an apparent resolution. Matteson began his presentation with a recap of events since the city awarded his firm the bid four years ago last December. “When the request for proposals was put out, you asked for a mixed-use development with residential, retail, restaurants and a hotel,” he said. “The site had no height restrictions, no parking requirements [and was] fully remediated with a Florida Department of Environmental Protection certificate that it was a clean site and shovel-ready. None of what we thought there has come to pass. We were awarded the project in December of 2019, so it feels like we’ve been on this thing forever.” During that same time period, Matteson insisted that the city was unable to convey clear title to the property due to numerous issues, including a conflict with the Submerged Land Act caused by a previous reconfiguration of Moore’s Creek. “You throw in a dose of COVID while all this is happening and that takes from December of 2019 to 2022 just to get the site ready to where we thought it was shovel-ready,” he lamented. Matterson showed the FPRA Board a video produced and televised by CBS 12 on the concrete being dug up and trucked away for an artificial reef offshore. That massive effort required 500 dump trucks of fill dirt to replace the 1,500 tons of concrete removed but also spawned the need for a new FDEP certification evaluation. “We had to simultaneously work with the Florida Department of Environmental Protection to get the right certificate on the land,” he explained. “We dug six wells and monitored the site constantly through the process to get the proper permit on the site so that we could build. So far we’re just shy of $2 million that we’ve invested in this property.” Since August of last year, Audubon Development has had city approvals for its infrastructure plan but is now facing a delay of its own choosing since both Matterson and Conkling &amp; Lewis Construction officials hope to avoid multiple road closures and rehabs along Indian River Drive. “We made a conscious decision at one juncture to not tear up Indian River Drive three times,” the CEO said. “Fort Pierce Utilities Authority needed to tear it up for new utilities, we needed to tear it up for utilities and then the city needed to tear it up for utilities. There was a decision made to wait and do it one time.” Conkling &amp; Lewis Construction President Greg Lewis offered his viewpoint on that as </w:t>
      </w:r>
      <w:r>
        <w:lastRenderedPageBreak/>
        <w:t xml:space="preserve">well. “We determined a year ago in February that the best for you all and us, especially since we’re going to turn over all this infrastructure to you, was to utilize the same civil contractor,” he said. “We put ours out to bid July 7 of last year. Dale paid for the engineering of the water and everything on you all’s property so that we didn’t lose more time. You all received bids Feb. 20 and they’re under review. We’re trying to only pay for everything once, [and] we’re ready once you decide who you’re awarding the project to.” That decision prompted much of the discussion that evening by city commissioners acting in their dual role as FPRA board members. Michael Broderick was the first to question that line of thinking. “Let’s assume for a second that the city’s action is delayed on their infrastructure,” he said. “You’re saying that has direct linkage to your being able to execute your obligations under the contract infrastructure improvements?” “Not completely,” Lewis responded. “We could do part of it – we might just end up redoing it. Until your plan is bid-out and ready to go, us connecting would be negligent to some degree.” Board member Jeremiah Johnson wanted more specifics. “What infrastructure is causing the hiccup?” he asked. “Is it a water main connection?” “It’s really more sewer, and all because obviously it’s gravity until it hits the lift station,” Lewis explained. “You’ve got drainage that is onsite and also adjacent to the site that all ties together.” Matteson then chimed in with his own perspective. “We understand people want to see it go up – we want to see it go up – but we’ve got to go down and solve the stuff below,” he insisted. “That was a lot more than anybody bargained for, but it’s done. Now we’re at that juncture where we don’t want to do it three and four times, so let’s just lock-step with what the city and the utility are doing and make sure that we do this one time.” After further discussion, Commissioner Curtis Johnson Jr. asked about potential bid respondents in common. “I’m not asking to disclose what their process is and who they’re picking and who they’re vetting,” he said. “Are these companies aligning?” “There’s at least three in common,” Lewis answered. “What we’ve indicated is, if you all elect to use a different contractor, within two weeks or so they can turn mine around. The whole idea, was again, the continuity of one single source responsibility.” Further questioning by board member Broderick, however, revealed that getting both the city and the FPUA in agreement on a single contractor could potentially take more time than was available in the Audubon contract. He then sought the input of City Attorney Sarah Hedges, who provided her analysis of the developer potentially missing his contractual timelines. “I’m hearing for Phase 1, it is not expected the completion date of Feb. 5, 2026 will be met,” she said. “More concerning is the admission that the March 18, 2024 Phase 2 deadline to submit the building permits or the development permit compliance review approvals will not [happen]. We will need your direction on whether that is an amendment to this contract to allow for extensions, or when he is in default March 18, provide him written notice of the default.” Broderick balked, however, on amending the contract on the spur of the moment. City Manager Nick Mimms, in turn, recommended </w:t>
      </w:r>
      <w:r>
        <w:lastRenderedPageBreak/>
        <w:t>enforcing the contract at face value. “Truthfully, the developer has a deliverable with which they need to provide,” he said. “We have contractual obligations on the city side, the FPRA side and the developer side. We need to fulfill those contractual obligations, and if deadlines or milestones are not met, then we need to move forward with our procedure to seek a remedy for that breach.” When board member Arnold Gaines – who is also an attorney – expressed concern about what might happen if the March 18 deadline were missed, Hedges provided further clarification. “They have to apply for the DPCR approval by March 18,” she confirmed. “The contract does not say obtain – it says apply. So, they only have to apply for that permit on that deadline.” The FPRA Board and staff ultimately decided to wait until March 18 to decide how to proceed if that deadline is missed. During the last part of his presentation, Matteson admitted there was a glitch with the Marriott hotelier’s financing, which prompted the Audubon CEO to seek out the assistance of Indian River State College officials interested in partnering with a Marriott franchisee to help train hospitality students. That partnership could provide the developer with more favorable interest rates. Two days after the March 18 deadline, Fort Pierce Marketing &amp; Communications Manager Kaitlyn Ballard acknowledged that the developer had indeed submitted an application to the city a day late in an attempt to avoid breaching the contract after the fact. “Audubon Development submitted their Development Permit Compliance Review application for Phase 2 of the Kings Landing development on March 19,” she said. City staff members are currently reviewing the latest documents received from the developer to ensure compliance with the development agreement.”</w:t>
      </w:r>
    </w:p>
    <w:sectPr w:rsidR="006B5D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D0A"/>
    <w:rsid w:val="006B5D0A"/>
    <w:rsid w:val="00FB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BA5D"/>
  <w15:chartTrackingRefBased/>
  <w15:docId w15:val="{499BFD23-BAAD-4BEB-8537-F75EF18B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D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D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D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D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D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D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D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D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D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D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D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D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D0A"/>
    <w:rPr>
      <w:rFonts w:eastAsiaTheme="majorEastAsia" w:cstheme="majorBidi"/>
      <w:color w:val="272727" w:themeColor="text1" w:themeTint="D8"/>
    </w:rPr>
  </w:style>
  <w:style w:type="paragraph" w:styleId="Title">
    <w:name w:val="Title"/>
    <w:basedOn w:val="Normal"/>
    <w:next w:val="Normal"/>
    <w:link w:val="TitleChar"/>
    <w:uiPriority w:val="10"/>
    <w:qFormat/>
    <w:rsid w:val="006B5D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D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D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D0A"/>
    <w:pPr>
      <w:spacing w:before="160"/>
      <w:jc w:val="center"/>
    </w:pPr>
    <w:rPr>
      <w:i/>
      <w:iCs/>
      <w:color w:val="404040" w:themeColor="text1" w:themeTint="BF"/>
    </w:rPr>
  </w:style>
  <w:style w:type="character" w:customStyle="1" w:styleId="QuoteChar">
    <w:name w:val="Quote Char"/>
    <w:basedOn w:val="DefaultParagraphFont"/>
    <w:link w:val="Quote"/>
    <w:uiPriority w:val="29"/>
    <w:rsid w:val="006B5D0A"/>
    <w:rPr>
      <w:i/>
      <w:iCs/>
      <w:color w:val="404040" w:themeColor="text1" w:themeTint="BF"/>
    </w:rPr>
  </w:style>
  <w:style w:type="paragraph" w:styleId="ListParagraph">
    <w:name w:val="List Paragraph"/>
    <w:basedOn w:val="Normal"/>
    <w:uiPriority w:val="34"/>
    <w:qFormat/>
    <w:rsid w:val="006B5D0A"/>
    <w:pPr>
      <w:ind w:left="720"/>
      <w:contextualSpacing/>
    </w:pPr>
  </w:style>
  <w:style w:type="character" w:styleId="IntenseEmphasis">
    <w:name w:val="Intense Emphasis"/>
    <w:basedOn w:val="DefaultParagraphFont"/>
    <w:uiPriority w:val="21"/>
    <w:qFormat/>
    <w:rsid w:val="006B5D0A"/>
    <w:rPr>
      <w:i/>
      <w:iCs/>
      <w:color w:val="0F4761" w:themeColor="accent1" w:themeShade="BF"/>
    </w:rPr>
  </w:style>
  <w:style w:type="paragraph" w:styleId="IntenseQuote">
    <w:name w:val="Intense Quote"/>
    <w:basedOn w:val="Normal"/>
    <w:next w:val="Normal"/>
    <w:link w:val="IntenseQuoteChar"/>
    <w:uiPriority w:val="30"/>
    <w:qFormat/>
    <w:rsid w:val="006B5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D0A"/>
    <w:rPr>
      <w:i/>
      <w:iCs/>
      <w:color w:val="0F4761" w:themeColor="accent1" w:themeShade="BF"/>
    </w:rPr>
  </w:style>
  <w:style w:type="character" w:styleId="IntenseReference">
    <w:name w:val="Intense Reference"/>
    <w:basedOn w:val="DefaultParagraphFont"/>
    <w:uiPriority w:val="32"/>
    <w:qFormat/>
    <w:rsid w:val="006B5D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1249</Words>
  <Characters>7121</Characters>
  <Application>Microsoft Office Word</Application>
  <DocSecurity>0</DocSecurity>
  <Lines>59</Lines>
  <Paragraphs>16</Paragraphs>
  <ScaleCrop>false</ScaleCrop>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Keen</dc:creator>
  <cp:keywords/>
  <dc:description/>
  <cp:lastModifiedBy>Kevin Keen</cp:lastModifiedBy>
  <cp:revision>1</cp:revision>
  <dcterms:created xsi:type="dcterms:W3CDTF">2026-03-29T00:25:00Z</dcterms:created>
  <dcterms:modified xsi:type="dcterms:W3CDTF">2026-03-29T00:33:00Z</dcterms:modified>
</cp:coreProperties>
</file>